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EastAsia" w:hAnsi="Arial" w:cs="Arial"/>
          <w:b w:val="0"/>
          <w:bCs w:val="0"/>
          <w:color w:val="0D0D0D" w:themeColor="text1" w:themeTint="F2"/>
          <w:sz w:val="36"/>
          <w:szCs w:val="36"/>
          <w:lang w:val="es-ES" w:eastAsia="ja-JP"/>
        </w:rPr>
        <w:id w:val="2118634104"/>
        <w:docPartObj>
          <w:docPartGallery w:val="Table of Contents"/>
          <w:docPartUnique/>
        </w:docPartObj>
      </w:sdtPr>
      <w:sdtEndPr>
        <w:rPr>
          <w:color w:val="auto"/>
          <w:sz w:val="24"/>
          <w:szCs w:val="24"/>
        </w:rPr>
      </w:sdtEndPr>
      <w:sdtContent>
        <w:p w:rsidR="00204163" w:rsidRDefault="000C3CD3" w:rsidP="00204163">
          <w:pPr>
            <w:pStyle w:val="TtulodeTDC"/>
            <w:numPr>
              <w:ilvl w:val="0"/>
              <w:numId w:val="0"/>
            </w:numPr>
            <w:ind w:left="432"/>
            <w:jc w:val="center"/>
            <w:rPr>
              <w:rFonts w:ascii="Arial" w:hAnsi="Arial" w:cs="Arial"/>
              <w:sz w:val="36"/>
              <w:szCs w:val="36"/>
              <w:lang w:val="es-ES"/>
            </w:rPr>
          </w:pPr>
          <w:r>
            <w:rPr>
              <w:rFonts w:ascii="Arial" w:hAnsi="Arial" w:cs="Arial"/>
              <w:sz w:val="36"/>
              <w:szCs w:val="36"/>
              <w:lang w:val="es-ES"/>
            </w:rPr>
            <w:t xml:space="preserve">                                                                                                                              </w:t>
          </w:r>
          <w:r w:rsidR="00204163" w:rsidRPr="00204163">
            <w:rPr>
              <w:rFonts w:ascii="Arial" w:hAnsi="Arial" w:cs="Arial"/>
              <w:sz w:val="36"/>
              <w:szCs w:val="36"/>
              <w:lang w:val="es-ES"/>
            </w:rPr>
            <w:t>CONTENIDO</w:t>
          </w:r>
        </w:p>
        <w:p w:rsidR="00204163" w:rsidRPr="00204163" w:rsidRDefault="00204163" w:rsidP="00204163">
          <w:pPr>
            <w:rPr>
              <w:lang w:eastAsia="es-MX"/>
            </w:rPr>
          </w:pPr>
        </w:p>
        <w:p w:rsidR="00204163" w:rsidRPr="00204163" w:rsidRDefault="00204163" w:rsidP="00204163">
          <w:pPr>
            <w:pStyle w:val="TDC1"/>
            <w:tabs>
              <w:tab w:val="left" w:pos="440"/>
              <w:tab w:val="right" w:leader="dot" w:pos="8830"/>
            </w:tabs>
            <w:jc w:val="both"/>
            <w:rPr>
              <w:rFonts w:ascii="Arial" w:hAnsi="Arial" w:cs="Arial"/>
              <w:noProof/>
              <w:color w:val="auto"/>
              <w:szCs w:val="24"/>
              <w:lang w:val="es-MX" w:eastAsia="es-MX"/>
            </w:rPr>
          </w:pPr>
          <w:r w:rsidRPr="00204163">
            <w:rPr>
              <w:rFonts w:ascii="Arial" w:hAnsi="Arial" w:cs="Arial"/>
              <w:color w:val="auto"/>
              <w:szCs w:val="24"/>
            </w:rPr>
            <w:fldChar w:fldCharType="begin"/>
          </w:r>
          <w:r w:rsidRPr="00204163">
            <w:rPr>
              <w:rFonts w:ascii="Arial" w:hAnsi="Arial" w:cs="Arial"/>
              <w:color w:val="auto"/>
              <w:szCs w:val="24"/>
            </w:rPr>
            <w:instrText xml:space="preserve"> TOC \o "1-3" \h \z \u </w:instrText>
          </w:r>
          <w:r w:rsidRPr="00204163">
            <w:rPr>
              <w:rFonts w:ascii="Arial" w:hAnsi="Arial" w:cs="Arial"/>
              <w:color w:val="auto"/>
              <w:szCs w:val="24"/>
            </w:rPr>
            <w:fldChar w:fldCharType="separate"/>
          </w:r>
          <w:hyperlink w:anchor="_Toc30597552" w:history="1">
            <w:r w:rsidRPr="00204163">
              <w:rPr>
                <w:rStyle w:val="Hipervnculo"/>
                <w:rFonts w:ascii="Arial" w:hAnsi="Arial" w:cs="Arial"/>
                <w:noProof/>
                <w:color w:val="auto"/>
                <w:szCs w:val="24"/>
              </w:rPr>
              <w:t>1.</w:t>
            </w:r>
            <w:r w:rsidRPr="00204163">
              <w:rPr>
                <w:rFonts w:ascii="Arial" w:hAnsi="Arial" w:cs="Arial"/>
                <w:noProof/>
                <w:color w:val="auto"/>
                <w:szCs w:val="24"/>
                <w:lang w:val="es-MX" w:eastAsia="es-MX"/>
              </w:rPr>
              <w:tab/>
            </w:r>
            <w:r w:rsidRPr="00204163">
              <w:rPr>
                <w:rStyle w:val="Hipervnculo"/>
                <w:rFonts w:ascii="Arial" w:hAnsi="Arial" w:cs="Arial"/>
                <w:noProof/>
                <w:color w:val="auto"/>
                <w:szCs w:val="24"/>
              </w:rPr>
              <w:t>TESIS AISLADAS EN MATERIA CONSTITUCIONAL Y AMPARO</w:t>
            </w:r>
            <w:r w:rsidRPr="00204163">
              <w:rPr>
                <w:rFonts w:ascii="Arial" w:hAnsi="Arial" w:cs="Arial"/>
                <w:noProof/>
                <w:webHidden/>
                <w:color w:val="auto"/>
                <w:szCs w:val="24"/>
              </w:rPr>
              <w:tab/>
            </w:r>
            <w:r w:rsidRPr="00204163">
              <w:rPr>
                <w:rFonts w:ascii="Arial" w:hAnsi="Arial" w:cs="Arial"/>
                <w:noProof/>
                <w:webHidden/>
                <w:color w:val="auto"/>
                <w:szCs w:val="24"/>
              </w:rPr>
              <w:fldChar w:fldCharType="begin"/>
            </w:r>
            <w:r w:rsidRPr="00204163">
              <w:rPr>
                <w:rFonts w:ascii="Arial" w:hAnsi="Arial" w:cs="Arial"/>
                <w:noProof/>
                <w:webHidden/>
                <w:color w:val="auto"/>
                <w:szCs w:val="24"/>
              </w:rPr>
              <w:instrText xml:space="preserve"> PAGEREF _Toc30597552 \h </w:instrText>
            </w:r>
            <w:r w:rsidRPr="00204163">
              <w:rPr>
                <w:rFonts w:ascii="Arial" w:hAnsi="Arial" w:cs="Arial"/>
                <w:noProof/>
                <w:webHidden/>
                <w:color w:val="auto"/>
                <w:szCs w:val="24"/>
              </w:rPr>
            </w:r>
            <w:r w:rsidRPr="00204163">
              <w:rPr>
                <w:rFonts w:ascii="Arial" w:hAnsi="Arial" w:cs="Arial"/>
                <w:noProof/>
                <w:webHidden/>
                <w:color w:val="auto"/>
                <w:szCs w:val="24"/>
              </w:rPr>
              <w:fldChar w:fldCharType="separate"/>
            </w:r>
            <w:r w:rsidRPr="00204163">
              <w:rPr>
                <w:rFonts w:ascii="Arial" w:hAnsi="Arial" w:cs="Arial"/>
                <w:noProof/>
                <w:webHidden/>
                <w:color w:val="auto"/>
                <w:szCs w:val="24"/>
              </w:rPr>
              <w:t>4</w:t>
            </w:r>
            <w:r w:rsidRPr="00204163">
              <w:rPr>
                <w:rFonts w:ascii="Arial" w:hAnsi="Arial" w:cs="Arial"/>
                <w:noProof/>
                <w:webHidden/>
                <w:color w:val="auto"/>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53" w:history="1">
            <w:r w:rsidR="00204163" w:rsidRPr="00204163">
              <w:rPr>
                <w:rStyle w:val="Hipervnculo"/>
                <w:rFonts w:ascii="Arial" w:hAnsi="Arial" w:cs="Arial"/>
                <w:noProof/>
                <w:color w:val="auto"/>
                <w:sz w:val="24"/>
                <w:szCs w:val="24"/>
              </w:rPr>
              <w:t>1.1</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TERCERO INTERESADO EN EL JUICIO DE AMPARO. NO OBSTANTE QUE EL ACTO RECLAMADO DERIVE DE UN JUICIO DE NATURALEZA CIVIL, CUANDO EXISTA LA POSIBILIDAD DE QUE EL BIEN CONTROVERTIDO PERTENEZCA A UNA COMUNIDAD AGRARIA, DEBE LLAMARSE A JUICIO A ÉSTA POR CONDUCTO DE SU REPRESENTANTE LEGAL CON AQUEL CARÁCTER.</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_Toc30597553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4</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54" w:history="1">
            <w:r w:rsidR="00204163" w:rsidRPr="00204163">
              <w:rPr>
                <w:rStyle w:val="Hipervnculo"/>
                <w:rFonts w:ascii="Arial" w:hAnsi="Arial" w:cs="Arial"/>
                <w:noProof/>
                <w:color w:val="auto"/>
                <w:sz w:val="24"/>
                <w:szCs w:val="24"/>
              </w:rPr>
              <w:t>1.2</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SISTEMA PENAL ACUSATORIO. CONTRA LAS DETERMINACIONES Y RESOLUCIONES DICTADAS EN RECURSOS QUE INCIDAN EN EL TEMA DE LA PERSONALIDAD, EMITIDAS DENTRO DE LA AUDIENCIA INICIAL, ES IMPROCEDENTE EL JUICIO DE AMPARO INDIRECTO, AL NO CONSTITUIR ACTOS DE IMPOSIBLE REPARACIÓN.</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_Toc30597554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5</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55" w:history="1">
            <w:r w:rsidR="00204163" w:rsidRPr="00204163">
              <w:rPr>
                <w:rStyle w:val="Hipervnculo"/>
                <w:rFonts w:ascii="Arial" w:hAnsi="Arial" w:cs="Arial"/>
                <w:noProof/>
                <w:color w:val="auto"/>
                <w:sz w:val="24"/>
                <w:szCs w:val="24"/>
              </w:rPr>
              <w:t>1.3</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RESOLUCIÓN EMITIDA POR EL JUEZ DE CONTROL EN EL RECURSO INNOMINADO PREVISTO EN EL ARTÍCULO 258 DEL CÓDIGO NACIONAL DE PROCEDIMIENTOS PENALES. EN SU CONTRA ES INNECESARIO AGOTAR MEDIO DE DEFENSA ALGUNO, PREVIO A PROMOVER EL JUICIO DE AMPARO INDIRECTO.</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_Toc30597555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7</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56" w:history="1">
            <w:r w:rsidR="00204163" w:rsidRPr="00204163">
              <w:rPr>
                <w:rStyle w:val="Hipervnculo"/>
                <w:rFonts w:ascii="Arial" w:hAnsi="Arial" w:cs="Arial"/>
                <w:noProof/>
                <w:color w:val="auto"/>
                <w:sz w:val="24"/>
                <w:szCs w:val="24"/>
              </w:rPr>
              <w:t>1.4</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RECURSO DE APELACIÓN PREVISTO EN EL ARTÍCULO 626 DEL CÓDIGO DE PROCEDIMIENTOS CIVILES DEL ESTADO DE CHIHUAHUA. ES OPTATIVO AGOTARLO PREVIO A PROMOVER EL JUICIO DE AMPARO DIRECTO, CONTRA LAS SENTENCIAS DICTADAS EN JUICIOS DERIVADOS DE LA ACCIÓN ESPECIAL DE DESOCUPACIÓN DE INMUEBLES EN ARRENDAMIENTO SI EL NEGOCIO ES ESTIMABLE PECUNIARIAMENTE.</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_Toc30597556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8</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57" w:history="1">
            <w:r w:rsidR="00204163" w:rsidRPr="00204163">
              <w:rPr>
                <w:rStyle w:val="Hipervnculo"/>
                <w:rFonts w:ascii="Arial" w:hAnsi="Arial" w:cs="Arial"/>
                <w:noProof/>
                <w:color w:val="auto"/>
                <w:sz w:val="24"/>
                <w:szCs w:val="24"/>
              </w:rPr>
              <w:t>1.5</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 xml:space="preserve">PENSIÓN POR CAUSA DE MUERTE. EL ARTÍCULO 131, FRACCIÓN III, ÚLTIMA PARTE, DE LA LEY DEL INSTITUTO DE SEGURIDAD Y SERVICIOS SOCIALES DE LOS TRABAJADORES DEL ESTADO, AL  NO CONSIDERAR PARA TENER DERECHO A ESE BENEFICIO A FAMILIARES SUSCEPTIBLES </w:t>
            </w:r>
            <w:r w:rsidR="00204163" w:rsidRPr="00204163">
              <w:rPr>
                <w:rStyle w:val="Hipervnculo"/>
                <w:rFonts w:ascii="Arial" w:hAnsi="Arial" w:cs="Arial"/>
                <w:noProof/>
                <w:color w:val="auto"/>
                <w:sz w:val="24"/>
                <w:szCs w:val="24"/>
              </w:rPr>
              <w:lastRenderedPageBreak/>
              <w:t>DE PROTECCIÓN QUE HUBIESEN DEPENDIDO ECONÓMICAMENTE DEL TRABAJADOR O PENSIONADO FALLECIDO, DISTINTOS DE SUS ASCENDIENTES, VIOLA LOS PRINCIPIOS CONSTITUCIONALES DE SEGURIDAD Y PREVISIÓN SOCIAL.</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_Toc30597557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9</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58" w:history="1">
            <w:r w:rsidR="00204163" w:rsidRPr="00204163">
              <w:rPr>
                <w:rStyle w:val="Hipervnculo"/>
                <w:rFonts w:ascii="Arial" w:hAnsi="Arial" w:cs="Arial"/>
                <w:noProof/>
                <w:color w:val="auto"/>
                <w:sz w:val="24"/>
                <w:szCs w:val="24"/>
              </w:rPr>
              <w:t>1.6</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PENSIÓN POR CAUSA DE MUERTE. EL ARTÍCULO 131, FRACCIÓN III, ÚLTIMA PARTE, DE LA LEY DEL INSTITUTO DE SEGURIDAD Y SERVICIOS SOCIALES DE LOS TRABAJADORES DEL ESTADO, AL CIRCUNSCRIBIR EL DERECHO A ESE BENEFICIO A LOS DEPENDIENTES ECONÓMICOS QUE SEAN ASCENDIENTES DISTINTOS DEL PADRE Y/O DE LA MADRE DEL TRABAJADOR O PENSIONADO FALLECIDO, NO VIOLA EL DERECHO FUNDAMENTAL A LA IGUALDAD JURÍDICA.</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_Toc30597558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11</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59" w:history="1">
            <w:r w:rsidR="00204163" w:rsidRPr="00204163">
              <w:rPr>
                <w:rStyle w:val="Hipervnculo"/>
                <w:rFonts w:ascii="Arial" w:hAnsi="Arial" w:cs="Arial"/>
                <w:noProof/>
                <w:color w:val="auto"/>
                <w:sz w:val="24"/>
                <w:szCs w:val="24"/>
              </w:rPr>
              <w:t>1.7</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JUICIO DE INTERDICCIÓN. SI SE RECLAMA UNA DILACIÓN INEXCUSABLE EN ÉSTE, AUN CUANDO SE TRATA DE ACTOS NEGATIVOS, RESULTA FACTIBLE DECRETAR LA SUSPENSIÓN PROVISIONAL CON EFECTOS PROVISIONALMENTE RESTITUTORIOS.</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_Toc30597559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13</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0" w:history="1">
            <w:r w:rsidR="00204163" w:rsidRPr="00204163">
              <w:rPr>
                <w:rStyle w:val="Hipervnculo"/>
                <w:rFonts w:ascii="Arial" w:hAnsi="Arial" w:cs="Arial"/>
                <w:noProof/>
                <w:color w:val="auto"/>
                <w:sz w:val="24"/>
                <w:szCs w:val="24"/>
              </w:rPr>
              <w:t>1.8</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JUICIO DE CONVIVENCIAS. SI SE DESAHOGA LA PRUEBA PERICIAL EN PSICOLOGÍA RESPECTO DE UN MENOR Y SE ORDENA LLEVAR A CABO UN PROCESO TERAPÉUTICO CON SUS FAMILIARES, DEBE REALIZARSE UN JUICIO DE PONDERACIÓN ENTRE LAS PARTICULARIDADES DEL CASO CONCRETO Y LOS DERECHOS EN JUEGO PARA VERIFICAR LA VIABILIDAD O NO DE LA PRÁCTICA DE UNA NUEVA VALORACIÓN, SIN QUE ELLO IMPLIQUE LA REVICTIMIZACIÓN EN EL MENOR.</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_Toc30597560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14</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1" w:history="1">
            <w:r w:rsidR="00204163" w:rsidRPr="00204163">
              <w:rPr>
                <w:rStyle w:val="Hipervnculo"/>
                <w:rFonts w:ascii="Arial" w:hAnsi="Arial" w:cs="Arial"/>
                <w:noProof/>
                <w:color w:val="auto"/>
                <w:sz w:val="24"/>
                <w:szCs w:val="24"/>
              </w:rPr>
              <w:t>1.9</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INCIDENTE PARA HACER EFECTIVA LA GARANTÍA OTORGADA PARA LA SUSPENSIÓN DEL ACTO RECLAMADO. SUPUESTO EN QUE EXISTE COSA JUZGADA.</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_Toc30597561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15</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2" w:history="1">
            <w:r w:rsidR="00204163" w:rsidRPr="00204163">
              <w:rPr>
                <w:rStyle w:val="Hipervnculo"/>
                <w:rFonts w:ascii="Arial" w:hAnsi="Arial" w:cs="Arial"/>
                <w:noProof/>
                <w:color w:val="auto"/>
                <w:sz w:val="24"/>
                <w:szCs w:val="24"/>
              </w:rPr>
              <w:t>1.10</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DISCRIMINACIÓN INDIRECTA. MÉTODO PARA DETERMINAR SI LA APLICACIÓN DE UNA NORMA JURÍDICA LA GENERA EN PERJUICIO DEL MATRIMONIO DE PERSONAS DEL MISMO SEXO.</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_Toc30597562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17</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3" w:history="1">
            <w:r w:rsidR="00204163" w:rsidRPr="00204163">
              <w:rPr>
                <w:rStyle w:val="Hipervnculo"/>
                <w:rFonts w:ascii="Arial" w:hAnsi="Arial" w:cs="Arial"/>
                <w:noProof/>
                <w:color w:val="auto"/>
                <w:sz w:val="24"/>
                <w:szCs w:val="24"/>
              </w:rPr>
              <w:t>1.11</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DERECHO A LA INFORMACIÓN. NO PUEDE ALEGARSE EL CARÁCTER DE "RESERVADO" DE LAS AVERIGUACIONES PREVIAS CUANDO LA INVESTIGACIÓN VERSE SOBRE VIOLACIONES GRAVES DE DERECHOS FUNDAMENTALES O DELITOS DE LESA HUMANIDAD.</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_Toc30597563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18</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4" w:history="1">
            <w:r w:rsidR="00204163" w:rsidRPr="00204163">
              <w:rPr>
                <w:rStyle w:val="Hipervnculo"/>
                <w:rFonts w:ascii="Arial" w:hAnsi="Arial" w:cs="Arial"/>
                <w:noProof/>
                <w:color w:val="auto"/>
                <w:sz w:val="24"/>
                <w:szCs w:val="24"/>
              </w:rPr>
              <w:t>1.12</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DERECHO A LA INFORMACIÓN. LA RELACIÓN CON SUS LÍMITES CONSTITUCIONALES NO DEBE PLANTEARSE EN TÉRMINOS ABSOLUTOS.</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_Toc30597564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19</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5" w:history="1">
            <w:r w:rsidR="00204163" w:rsidRPr="00204163">
              <w:rPr>
                <w:rStyle w:val="Hipervnculo"/>
                <w:rFonts w:ascii="Arial" w:hAnsi="Arial" w:cs="Arial"/>
                <w:noProof/>
                <w:color w:val="auto"/>
                <w:sz w:val="24"/>
                <w:szCs w:val="24"/>
              </w:rPr>
              <w:t>1.13</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DERECHO HUMANO A LA CULTURA FÍSICA Y A LA PRÁCTICA DEL DEPORTE. SI LA EXPEDICIÓN DE LA REGLAMENTACIÓN TÉCNICA-DEPORTIVA IMPLICA DISCRIMINACIÓN U OPACIDAD QUE LO IMPIDA, COBRAN VIGENCIA LOS DERECHOS FUNDAMENTALES EN LAS RELACIONES ENTRE PARTICULARES EN SU EJERCICIO.</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_Toc30597565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21</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6" w:history="1">
            <w:r w:rsidR="00204163" w:rsidRPr="00204163">
              <w:rPr>
                <w:rStyle w:val="Hipervnculo"/>
                <w:rFonts w:ascii="Arial" w:hAnsi="Arial" w:cs="Arial"/>
                <w:noProof/>
                <w:color w:val="auto"/>
                <w:sz w:val="24"/>
                <w:szCs w:val="24"/>
              </w:rPr>
              <w:t>1.14</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DERECHO HUMANO A LA CULTURA FÍSICA Y A LA PRÁCTICA DEL DEPORTE. EN SU EJERCICIO DEBEN OBSERVARSE BASES ÉTICAS, EN PRO DE LA DIGNIDAD, INTEGRIDAD, IGUALDAD Y NO DISCRIMINACIÓN.</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_Toc30597566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22</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7" w:history="1">
            <w:r w:rsidR="00204163" w:rsidRPr="00204163">
              <w:rPr>
                <w:rStyle w:val="Hipervnculo"/>
                <w:rFonts w:ascii="Arial" w:hAnsi="Arial" w:cs="Arial"/>
                <w:noProof/>
                <w:color w:val="auto"/>
                <w:sz w:val="24"/>
                <w:szCs w:val="24"/>
              </w:rPr>
              <w:t>1.15</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DERECHO HUMANO A LA CULTURA FÍSICA Y A LA PRÁCTICA DEL DEPORTE. CORRESPONDE AL ESTADO VELAR PORQUE SE DESARROLLE CONFORME A LOS PRINCIPIOS CONSTITUCIONALES Y LEGALES.</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_Toc30597567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23</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8" w:history="1">
            <w:r w:rsidR="00204163" w:rsidRPr="00204163">
              <w:rPr>
                <w:rStyle w:val="Hipervnculo"/>
                <w:rFonts w:ascii="Arial" w:hAnsi="Arial" w:cs="Arial"/>
                <w:noProof/>
                <w:color w:val="auto"/>
                <w:sz w:val="24"/>
                <w:szCs w:val="24"/>
              </w:rPr>
              <w:t>1.16</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CADUCIDAD DE LA INSTANCIA O PERENCIÓN. LA FRACCIÓN IV DEL ARTÍCULO 373 DEL CÓDIGO FEDERAL DE PROCEDIMIENTOS CIVILES, PARA SER CONFORME CON EL ARTÍCULO 17 DE LA CONSTITUCIÓN FEDERAL, EN CUANTO AL DERECHO A LA TUTELA JURISDICCIONAL EFECTIVA –EN SU VERTIENTE DE ACCESO A LA JUSTICIA–, DEBE INTERPRETARSE EN EL SENTIDO DE QUE EL ÓRGANO JURISDICCIONAL, PREVIO A LA CONCLUSIÓN DEL LAPSO AHÍ ESTABLECIDO, DEBERÁ PREVENIR AL INTERESADO PARA QUE EN UN PLAZO QUE CONSIDERE PRUDENTE CUMPLA CON SU CARGA PROCESAL, CON EL APERCIBIMIENTO DE QUE, EN CASO DE INCUMPLIMIENTO, SE DECRETARÁ AQUÉLLA.</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_Toc30597568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24</w:t>
            </w:r>
            <w:r w:rsidR="00204163" w:rsidRPr="00204163">
              <w:rPr>
                <w:rFonts w:ascii="Arial" w:hAnsi="Arial" w:cs="Arial"/>
                <w:noProof/>
                <w:webHidden/>
                <w:sz w:val="24"/>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69" w:history="1">
            <w:r w:rsidR="00204163" w:rsidRPr="00204163">
              <w:rPr>
                <w:rStyle w:val="Hipervnculo"/>
                <w:rFonts w:ascii="Arial" w:hAnsi="Arial" w:cs="Arial"/>
                <w:noProof/>
                <w:color w:val="auto"/>
                <w:sz w:val="24"/>
                <w:szCs w:val="24"/>
              </w:rPr>
              <w:t>1.17</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AMPARO ADHESIVO. EL TERCERO INTERESADO CARECE DE LEGITIMACIÓN PARA PROMOVERLO, SI LA SENTENCIA DEFINITIVA, LAUDO O RESOLUCIÓN RECLAMADA RESULTA DE ALGÚN MODO ADVERSA A SUS INTERESES.</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_Toc30597569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26</w:t>
            </w:r>
            <w:r w:rsidR="00204163" w:rsidRPr="00204163">
              <w:rPr>
                <w:rFonts w:ascii="Arial" w:hAnsi="Arial" w:cs="Arial"/>
                <w:noProof/>
                <w:webHidden/>
                <w:sz w:val="24"/>
                <w:szCs w:val="24"/>
              </w:rPr>
              <w:fldChar w:fldCharType="end"/>
            </w:r>
          </w:hyperlink>
        </w:p>
        <w:p w:rsidR="00204163" w:rsidRPr="00204163" w:rsidRDefault="009274E2" w:rsidP="00204163">
          <w:pPr>
            <w:pStyle w:val="TDC1"/>
            <w:tabs>
              <w:tab w:val="left" w:pos="440"/>
              <w:tab w:val="right" w:leader="dot" w:pos="8830"/>
            </w:tabs>
            <w:jc w:val="both"/>
            <w:rPr>
              <w:rFonts w:ascii="Arial" w:hAnsi="Arial" w:cs="Arial"/>
              <w:noProof/>
              <w:color w:val="auto"/>
              <w:szCs w:val="24"/>
              <w:lang w:val="es-MX" w:eastAsia="es-MX"/>
            </w:rPr>
          </w:pPr>
          <w:hyperlink w:anchor="_Toc30597570" w:history="1">
            <w:r w:rsidR="00204163" w:rsidRPr="00204163">
              <w:rPr>
                <w:rStyle w:val="Hipervnculo"/>
                <w:rFonts w:ascii="Arial" w:hAnsi="Arial" w:cs="Arial"/>
                <w:noProof/>
                <w:color w:val="auto"/>
                <w:szCs w:val="24"/>
              </w:rPr>
              <w:t>2.</w:t>
            </w:r>
            <w:r w:rsidR="00204163" w:rsidRPr="00204163">
              <w:rPr>
                <w:rFonts w:ascii="Arial" w:hAnsi="Arial" w:cs="Arial"/>
                <w:noProof/>
                <w:color w:val="auto"/>
                <w:szCs w:val="24"/>
                <w:lang w:val="es-MX" w:eastAsia="es-MX"/>
              </w:rPr>
              <w:tab/>
            </w:r>
            <w:r w:rsidR="00204163" w:rsidRPr="00204163">
              <w:rPr>
                <w:rStyle w:val="Hipervnculo"/>
                <w:rFonts w:ascii="Arial" w:hAnsi="Arial" w:cs="Arial"/>
                <w:noProof/>
                <w:color w:val="auto"/>
                <w:szCs w:val="24"/>
              </w:rPr>
              <w:t>FUENTES CONSULTADAS</w:t>
            </w:r>
            <w:r w:rsidR="00204163" w:rsidRPr="00204163">
              <w:rPr>
                <w:rFonts w:ascii="Arial" w:hAnsi="Arial" w:cs="Arial"/>
                <w:noProof/>
                <w:webHidden/>
                <w:color w:val="auto"/>
                <w:szCs w:val="24"/>
              </w:rPr>
              <w:tab/>
            </w:r>
            <w:r w:rsidR="00204163" w:rsidRPr="00204163">
              <w:rPr>
                <w:rFonts w:ascii="Arial" w:hAnsi="Arial" w:cs="Arial"/>
                <w:noProof/>
                <w:webHidden/>
                <w:color w:val="auto"/>
                <w:szCs w:val="24"/>
              </w:rPr>
              <w:fldChar w:fldCharType="begin"/>
            </w:r>
            <w:r w:rsidR="00204163" w:rsidRPr="00204163">
              <w:rPr>
                <w:rFonts w:ascii="Arial" w:hAnsi="Arial" w:cs="Arial"/>
                <w:noProof/>
                <w:webHidden/>
                <w:color w:val="auto"/>
                <w:szCs w:val="24"/>
              </w:rPr>
              <w:instrText xml:space="preserve"> PAGEREF _Toc30597570 \h </w:instrText>
            </w:r>
            <w:r w:rsidR="00204163" w:rsidRPr="00204163">
              <w:rPr>
                <w:rFonts w:ascii="Arial" w:hAnsi="Arial" w:cs="Arial"/>
                <w:noProof/>
                <w:webHidden/>
                <w:color w:val="auto"/>
                <w:szCs w:val="24"/>
              </w:rPr>
            </w:r>
            <w:r w:rsidR="00204163" w:rsidRPr="00204163">
              <w:rPr>
                <w:rFonts w:ascii="Arial" w:hAnsi="Arial" w:cs="Arial"/>
                <w:noProof/>
                <w:webHidden/>
                <w:color w:val="auto"/>
                <w:szCs w:val="24"/>
              </w:rPr>
              <w:fldChar w:fldCharType="separate"/>
            </w:r>
            <w:r w:rsidR="00204163" w:rsidRPr="00204163">
              <w:rPr>
                <w:rFonts w:ascii="Arial" w:hAnsi="Arial" w:cs="Arial"/>
                <w:noProof/>
                <w:webHidden/>
                <w:color w:val="auto"/>
                <w:szCs w:val="24"/>
              </w:rPr>
              <w:t>27</w:t>
            </w:r>
            <w:r w:rsidR="00204163" w:rsidRPr="00204163">
              <w:rPr>
                <w:rFonts w:ascii="Arial" w:hAnsi="Arial" w:cs="Arial"/>
                <w:noProof/>
                <w:webHidden/>
                <w:color w:val="auto"/>
                <w:szCs w:val="24"/>
              </w:rPr>
              <w:fldChar w:fldCharType="end"/>
            </w:r>
          </w:hyperlink>
        </w:p>
        <w:p w:rsidR="00204163" w:rsidRPr="00204163" w:rsidRDefault="009274E2" w:rsidP="00204163">
          <w:pPr>
            <w:pStyle w:val="TDC2"/>
            <w:tabs>
              <w:tab w:val="left" w:pos="880"/>
              <w:tab w:val="right" w:leader="dot" w:pos="8830"/>
            </w:tabs>
            <w:jc w:val="both"/>
            <w:rPr>
              <w:rFonts w:ascii="Arial" w:eastAsiaTheme="minorEastAsia" w:hAnsi="Arial" w:cs="Arial"/>
              <w:noProof/>
              <w:sz w:val="24"/>
              <w:szCs w:val="24"/>
              <w:lang w:eastAsia="es-MX"/>
            </w:rPr>
          </w:pPr>
          <w:hyperlink w:anchor="_Toc30597571" w:history="1">
            <w:r w:rsidR="00204163" w:rsidRPr="00204163">
              <w:rPr>
                <w:rStyle w:val="Hipervnculo"/>
                <w:rFonts w:ascii="Arial" w:hAnsi="Arial" w:cs="Arial"/>
                <w:noProof/>
                <w:color w:val="auto"/>
                <w:sz w:val="24"/>
                <w:szCs w:val="24"/>
              </w:rPr>
              <w:t>2.1.</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CIBEROGRÁFICA:</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_Toc30597571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27</w:t>
            </w:r>
            <w:r w:rsidR="00204163" w:rsidRPr="00204163">
              <w:rPr>
                <w:rFonts w:ascii="Arial" w:hAnsi="Arial" w:cs="Arial"/>
                <w:noProof/>
                <w:webHidden/>
                <w:sz w:val="24"/>
                <w:szCs w:val="24"/>
              </w:rPr>
              <w:fldChar w:fldCharType="end"/>
            </w:r>
          </w:hyperlink>
        </w:p>
        <w:p w:rsidR="00204163" w:rsidRPr="00204163" w:rsidRDefault="009274E2" w:rsidP="00204163">
          <w:pPr>
            <w:pStyle w:val="TDC3"/>
            <w:tabs>
              <w:tab w:val="left" w:pos="1320"/>
              <w:tab w:val="right" w:leader="dot" w:pos="8830"/>
            </w:tabs>
            <w:jc w:val="both"/>
            <w:rPr>
              <w:rFonts w:ascii="Arial" w:eastAsiaTheme="minorEastAsia" w:hAnsi="Arial" w:cs="Arial"/>
              <w:noProof/>
              <w:sz w:val="24"/>
              <w:szCs w:val="24"/>
              <w:lang w:eastAsia="es-MX"/>
            </w:rPr>
          </w:pPr>
          <w:hyperlink w:anchor="_Toc30597572" w:history="1">
            <w:r w:rsidR="00204163" w:rsidRPr="00204163">
              <w:rPr>
                <w:rStyle w:val="Hipervnculo"/>
                <w:rFonts w:ascii="Arial" w:hAnsi="Arial" w:cs="Arial"/>
                <w:noProof/>
                <w:color w:val="auto"/>
                <w:sz w:val="24"/>
                <w:szCs w:val="24"/>
              </w:rPr>
              <w:t>2.1.1.</w:t>
            </w:r>
            <w:r w:rsidR="00204163" w:rsidRPr="00204163">
              <w:rPr>
                <w:rFonts w:ascii="Arial" w:eastAsiaTheme="minorEastAsia" w:hAnsi="Arial" w:cs="Arial"/>
                <w:noProof/>
                <w:sz w:val="24"/>
                <w:szCs w:val="24"/>
                <w:lang w:eastAsia="es-MX"/>
              </w:rPr>
              <w:tab/>
            </w:r>
            <w:r w:rsidR="00204163" w:rsidRPr="00204163">
              <w:rPr>
                <w:rStyle w:val="Hipervnculo"/>
                <w:rFonts w:ascii="Arial" w:hAnsi="Arial" w:cs="Arial"/>
                <w:noProof/>
                <w:color w:val="auto"/>
                <w:sz w:val="24"/>
                <w:szCs w:val="24"/>
              </w:rPr>
              <w:t>SEMANARIO JUDICIAL DE LA FEDERACIÓN</w:t>
            </w:r>
            <w:r w:rsidR="00204163" w:rsidRPr="00204163">
              <w:rPr>
                <w:rFonts w:ascii="Arial" w:hAnsi="Arial" w:cs="Arial"/>
                <w:noProof/>
                <w:webHidden/>
                <w:sz w:val="24"/>
                <w:szCs w:val="24"/>
              </w:rPr>
              <w:tab/>
            </w:r>
            <w:r w:rsidR="00204163" w:rsidRPr="00204163">
              <w:rPr>
                <w:rFonts w:ascii="Arial" w:hAnsi="Arial" w:cs="Arial"/>
                <w:noProof/>
                <w:webHidden/>
                <w:sz w:val="24"/>
                <w:szCs w:val="24"/>
              </w:rPr>
              <w:fldChar w:fldCharType="begin"/>
            </w:r>
            <w:r w:rsidR="00204163" w:rsidRPr="00204163">
              <w:rPr>
                <w:rFonts w:ascii="Arial" w:hAnsi="Arial" w:cs="Arial"/>
                <w:noProof/>
                <w:webHidden/>
                <w:sz w:val="24"/>
                <w:szCs w:val="24"/>
              </w:rPr>
              <w:instrText xml:space="preserve"> PAGEREF _Toc30597572 \h </w:instrText>
            </w:r>
            <w:r w:rsidR="00204163" w:rsidRPr="00204163">
              <w:rPr>
                <w:rFonts w:ascii="Arial" w:hAnsi="Arial" w:cs="Arial"/>
                <w:noProof/>
                <w:webHidden/>
                <w:sz w:val="24"/>
                <w:szCs w:val="24"/>
              </w:rPr>
            </w:r>
            <w:r w:rsidR="00204163" w:rsidRPr="00204163">
              <w:rPr>
                <w:rFonts w:ascii="Arial" w:hAnsi="Arial" w:cs="Arial"/>
                <w:noProof/>
                <w:webHidden/>
                <w:sz w:val="24"/>
                <w:szCs w:val="24"/>
              </w:rPr>
              <w:fldChar w:fldCharType="separate"/>
            </w:r>
            <w:r w:rsidR="00204163" w:rsidRPr="00204163">
              <w:rPr>
                <w:rFonts w:ascii="Arial" w:hAnsi="Arial" w:cs="Arial"/>
                <w:noProof/>
                <w:webHidden/>
                <w:sz w:val="24"/>
                <w:szCs w:val="24"/>
              </w:rPr>
              <w:t>27</w:t>
            </w:r>
            <w:r w:rsidR="00204163" w:rsidRPr="00204163">
              <w:rPr>
                <w:rFonts w:ascii="Arial" w:hAnsi="Arial" w:cs="Arial"/>
                <w:noProof/>
                <w:webHidden/>
                <w:sz w:val="24"/>
                <w:szCs w:val="24"/>
              </w:rPr>
              <w:fldChar w:fldCharType="end"/>
            </w:r>
          </w:hyperlink>
        </w:p>
        <w:p w:rsidR="00204163" w:rsidRDefault="00204163" w:rsidP="00204163">
          <w:pPr>
            <w:jc w:val="both"/>
            <w:rPr>
              <w:rFonts w:ascii="Arial" w:hAnsi="Arial" w:cs="Arial"/>
              <w:b/>
              <w:bCs/>
              <w:color w:val="auto"/>
              <w:szCs w:val="24"/>
            </w:rPr>
          </w:pPr>
          <w:r w:rsidRPr="00204163">
            <w:rPr>
              <w:rFonts w:ascii="Arial" w:hAnsi="Arial" w:cs="Arial"/>
              <w:b/>
              <w:bCs/>
              <w:color w:val="auto"/>
              <w:szCs w:val="24"/>
            </w:rPr>
            <w:lastRenderedPageBreak/>
            <w:fldChar w:fldCharType="end"/>
          </w:r>
        </w:p>
      </w:sdtContent>
    </w:sdt>
    <w:bookmarkStart w:id="0" w:name="_Toc30597552" w:displacedByCustomXml="prev"/>
    <w:p w:rsidR="00A54A0F" w:rsidRPr="00EB1588" w:rsidRDefault="00A54A0F" w:rsidP="00EB1588">
      <w:pPr>
        <w:pStyle w:val="Ttulo1"/>
        <w:numPr>
          <w:ilvl w:val="0"/>
          <w:numId w:val="7"/>
        </w:numPr>
        <w:jc w:val="center"/>
        <w:rPr>
          <w:rFonts w:ascii="Arial" w:hAnsi="Arial" w:cs="Arial"/>
          <w:color w:val="B35E06" w:themeColor="accent1" w:themeShade="BF"/>
          <w:sz w:val="36"/>
          <w:szCs w:val="36"/>
        </w:rPr>
      </w:pPr>
      <w:r w:rsidRPr="00EB1588">
        <w:rPr>
          <w:rFonts w:ascii="Arial" w:hAnsi="Arial" w:cs="Arial"/>
          <w:color w:val="B35E06" w:themeColor="accent1" w:themeShade="BF"/>
          <w:sz w:val="36"/>
          <w:szCs w:val="36"/>
        </w:rPr>
        <w:t>TESIS AISLADAS EN MATERIA CONSTITUCIONAL Y AMPARO</w:t>
      </w:r>
      <w:bookmarkEnd w:id="0"/>
    </w:p>
    <w:p w:rsidR="00A54A0F" w:rsidRPr="00753D3A" w:rsidRDefault="00A54A0F" w:rsidP="00A54A0F">
      <w:pPr>
        <w:spacing w:after="0" w:line="240" w:lineRule="auto"/>
        <w:jc w:val="both"/>
        <w:rPr>
          <w:rFonts w:ascii="Arial" w:hAnsi="Arial" w:cs="Arial"/>
          <w:color w:val="auto"/>
        </w:rPr>
      </w:pPr>
    </w:p>
    <w:p w:rsidR="005269F4" w:rsidRPr="00753D3A" w:rsidRDefault="00EB1588" w:rsidP="00A54A0F">
      <w:pPr>
        <w:spacing w:after="0" w:line="240" w:lineRule="auto"/>
        <w:jc w:val="both"/>
        <w:rPr>
          <w:rFonts w:ascii="Arial" w:hAnsi="Arial" w:cs="Arial"/>
          <w:color w:val="auto"/>
        </w:rPr>
      </w:pPr>
      <w:r>
        <w:rPr>
          <w:rFonts w:ascii="Arial" w:hAnsi="Arial" w:cs="Arial"/>
          <w:color w:val="auto"/>
        </w:rPr>
        <w:t xml:space="preserve">1. </w:t>
      </w:r>
      <w:r w:rsidR="005269F4" w:rsidRPr="00753D3A">
        <w:rPr>
          <w:rFonts w:ascii="Arial" w:hAnsi="Arial" w:cs="Arial"/>
          <w:color w:val="auto"/>
        </w:rPr>
        <w:t xml:space="preserve">Época: Décima Época </w:t>
      </w: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 xml:space="preserve">Registro: 2021442 </w:t>
      </w: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 xml:space="preserve">Instancia: Tribunales Colegiados de Circuito </w:t>
      </w: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 xml:space="preserve">Tipo de Tesis: Aislada </w:t>
      </w: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 xml:space="preserve">Fuente: Semanario Judicial de la Federación </w:t>
      </w: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 xml:space="preserve">Publicación: viernes 17 de enero de 2020 10:18 h </w:t>
      </w: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 xml:space="preserve">Materia(s): (Común) </w:t>
      </w: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 xml:space="preserve">Tesis: XIII.2o.C.A.1 K (10a.) </w:t>
      </w:r>
    </w:p>
    <w:p w:rsidR="005269F4" w:rsidRPr="00753D3A" w:rsidRDefault="005269F4" w:rsidP="00A54A0F">
      <w:pPr>
        <w:spacing w:after="0" w:line="240" w:lineRule="auto"/>
        <w:jc w:val="both"/>
        <w:rPr>
          <w:rFonts w:ascii="Arial" w:hAnsi="Arial" w:cs="Arial"/>
          <w:color w:val="auto"/>
        </w:rPr>
      </w:pPr>
    </w:p>
    <w:p w:rsidR="005269F4" w:rsidRPr="00EB1588" w:rsidRDefault="005269F4" w:rsidP="00EB1588">
      <w:pPr>
        <w:pStyle w:val="Ttulo2"/>
        <w:jc w:val="both"/>
        <w:rPr>
          <w:rFonts w:ascii="Arial" w:hAnsi="Arial" w:cs="Arial"/>
          <w:color w:val="B35E06" w:themeColor="accent1" w:themeShade="BF"/>
          <w:sz w:val="26"/>
          <w:szCs w:val="26"/>
        </w:rPr>
      </w:pPr>
      <w:bookmarkStart w:id="1" w:name="_Toc30597553"/>
      <w:r w:rsidRPr="00EB1588">
        <w:rPr>
          <w:rFonts w:ascii="Arial" w:hAnsi="Arial" w:cs="Arial"/>
          <w:color w:val="B35E06" w:themeColor="accent1" w:themeShade="BF"/>
          <w:sz w:val="26"/>
          <w:szCs w:val="26"/>
        </w:rPr>
        <w:t>TERCERO INTERESADO EN EL JUICIO DE AMPARO. NO OBSTANTE QUE EL ACTO RECLAMADO DERIVE DE UN JUICIO DE NATURALEZA CIVIL, CUANDO EXISTA LA POSIBILIDAD DE QUE EL BIEN CONTROVERTIDO PERTENEZCA A UNA COMUNIDAD AGRARIA, DEBE LLAMARSE A JUICIO A ÉSTA POR CONDUCTO DE SU REPRESENTANTE LEGAL CON AQUEL CARÁCTER.</w:t>
      </w:r>
      <w:bookmarkEnd w:id="1"/>
    </w:p>
    <w:p w:rsidR="005269F4" w:rsidRPr="00753D3A" w:rsidRDefault="005269F4" w:rsidP="00A54A0F">
      <w:pPr>
        <w:spacing w:after="0" w:line="240" w:lineRule="auto"/>
        <w:jc w:val="both"/>
        <w:rPr>
          <w:rFonts w:ascii="Arial" w:hAnsi="Arial" w:cs="Arial"/>
          <w:color w:val="auto"/>
        </w:rPr>
      </w:pP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 xml:space="preserve">Conforme al artículo 5o., fracción III, de la Ley de Amparo, la calidad que se exige para considerar legitimado a quien promueve el juicio de amparo, también es exigible a quien pretende que se le reconozca el carácter de tercero interesado, esto es, la afectación real y actual de un derecho subjetivo o de un interés legítimo individual o colectivo, según la naturaleza del acto. Por tanto, no obstante que el acto reclamado derive de un juicio de naturaleza civil, cuando exista la posibilidad de que el bien controvertido pertenezca a una comunidad agraria, debe llamarse a juicio a ésta por conducto de su representante legal, en su carácter de tercero interesado, en términos del inciso b), parte final, de la fracción y artículo citados, pues se trata de un tercero extraño al juicio de origen y tiene un interés contrario a la parte quejosa. </w:t>
      </w:r>
    </w:p>
    <w:p w:rsidR="005269F4" w:rsidRPr="00753D3A" w:rsidRDefault="005269F4" w:rsidP="00A54A0F">
      <w:pPr>
        <w:spacing w:after="0" w:line="240" w:lineRule="auto"/>
        <w:jc w:val="both"/>
        <w:rPr>
          <w:rFonts w:ascii="Arial" w:hAnsi="Arial" w:cs="Arial"/>
          <w:color w:val="auto"/>
        </w:rPr>
      </w:pP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SEGUNDO TRIBUNAL COLEGIADO EN MATERIAS CIVIL Y ADMINISTRATIVA DEL DÉCIMO TERCER CIRCUITO.</w:t>
      </w:r>
    </w:p>
    <w:p w:rsidR="005269F4" w:rsidRPr="00753D3A" w:rsidRDefault="005269F4" w:rsidP="00A54A0F">
      <w:pPr>
        <w:spacing w:after="0" w:line="240" w:lineRule="auto"/>
        <w:jc w:val="both"/>
        <w:rPr>
          <w:rFonts w:ascii="Arial" w:hAnsi="Arial" w:cs="Arial"/>
          <w:color w:val="auto"/>
        </w:rPr>
      </w:pPr>
    </w:p>
    <w:p w:rsidR="005269F4" w:rsidRPr="00753D3A" w:rsidRDefault="005269F4" w:rsidP="00A54A0F">
      <w:pPr>
        <w:spacing w:after="0" w:line="240" w:lineRule="auto"/>
        <w:jc w:val="both"/>
        <w:rPr>
          <w:rFonts w:ascii="Arial" w:hAnsi="Arial" w:cs="Arial"/>
          <w:color w:val="auto"/>
        </w:rPr>
      </w:pPr>
      <w:r w:rsidRPr="00753D3A">
        <w:rPr>
          <w:rFonts w:ascii="Arial" w:hAnsi="Arial" w:cs="Arial"/>
          <w:color w:val="auto"/>
        </w:rPr>
        <w:t>Queja 193/2019. Adelfo García Gutiérrez. 18 de octubre de 2019. Unanimidad de votos. Ponente: Marco Antonio Guzmán González. Secretario: David Rojas Rodríguez.</w:t>
      </w:r>
    </w:p>
    <w:p w:rsidR="005269F4" w:rsidRPr="00753D3A" w:rsidRDefault="005269F4" w:rsidP="00A54A0F">
      <w:pPr>
        <w:spacing w:after="0" w:line="240" w:lineRule="auto"/>
        <w:jc w:val="both"/>
        <w:rPr>
          <w:rFonts w:ascii="Arial" w:hAnsi="Arial" w:cs="Arial"/>
          <w:color w:val="auto"/>
        </w:rPr>
      </w:pPr>
    </w:p>
    <w:p w:rsidR="00087300" w:rsidRPr="00753D3A" w:rsidRDefault="00087300" w:rsidP="00A54A0F">
      <w:pPr>
        <w:spacing w:after="0" w:line="240" w:lineRule="auto"/>
        <w:jc w:val="both"/>
        <w:rPr>
          <w:rFonts w:ascii="Arial" w:hAnsi="Arial" w:cs="Arial"/>
          <w:color w:val="auto"/>
        </w:rPr>
      </w:pPr>
    </w:p>
    <w:p w:rsidR="0089689F" w:rsidRPr="00753D3A" w:rsidRDefault="00EB1588" w:rsidP="0089689F">
      <w:pPr>
        <w:spacing w:after="0" w:line="240" w:lineRule="auto"/>
        <w:jc w:val="both"/>
        <w:rPr>
          <w:rFonts w:ascii="Arial" w:hAnsi="Arial" w:cs="Arial"/>
          <w:color w:val="auto"/>
        </w:rPr>
      </w:pPr>
      <w:r>
        <w:rPr>
          <w:rFonts w:ascii="Arial" w:hAnsi="Arial" w:cs="Arial"/>
          <w:color w:val="auto"/>
        </w:rPr>
        <w:t xml:space="preserve">2. </w:t>
      </w:r>
      <w:r w:rsidR="0089689F" w:rsidRPr="00753D3A">
        <w:rPr>
          <w:rFonts w:ascii="Arial" w:hAnsi="Arial" w:cs="Arial"/>
          <w:color w:val="auto"/>
        </w:rPr>
        <w:t xml:space="preserve">Época: Décima Época </w:t>
      </w: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 xml:space="preserve">Registro: 2021441 </w:t>
      </w: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 xml:space="preserve">Instancia: Tribunales Colegiados de Circuito </w:t>
      </w: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 xml:space="preserve">Tipo de Tesis: Aislada </w:t>
      </w: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 xml:space="preserve">Fuente: Semanario Judicial de la Federación </w:t>
      </w: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 xml:space="preserve">Publicación: viernes 17 de enero de 2020 10:18 h </w:t>
      </w: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 xml:space="preserve">Materia(s): (Común, Penal) </w:t>
      </w: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 xml:space="preserve">Tesis: I.10o.P.35 P (10a.) </w:t>
      </w:r>
    </w:p>
    <w:p w:rsidR="0089689F" w:rsidRPr="00753D3A" w:rsidRDefault="0089689F" w:rsidP="0089689F">
      <w:pPr>
        <w:spacing w:after="0" w:line="240" w:lineRule="auto"/>
        <w:jc w:val="both"/>
        <w:rPr>
          <w:rFonts w:ascii="Arial" w:hAnsi="Arial" w:cs="Arial"/>
          <w:color w:val="auto"/>
        </w:rPr>
      </w:pPr>
    </w:p>
    <w:p w:rsidR="0089689F" w:rsidRPr="00EB1588" w:rsidRDefault="0089689F" w:rsidP="00EB1588">
      <w:pPr>
        <w:pStyle w:val="Ttulo2"/>
        <w:jc w:val="both"/>
        <w:rPr>
          <w:rFonts w:ascii="Arial" w:hAnsi="Arial" w:cs="Arial"/>
          <w:color w:val="B35E06" w:themeColor="accent1" w:themeShade="BF"/>
          <w:sz w:val="26"/>
          <w:szCs w:val="26"/>
        </w:rPr>
      </w:pPr>
      <w:bookmarkStart w:id="2" w:name="_Toc30597554"/>
      <w:r w:rsidRPr="00EB1588">
        <w:rPr>
          <w:rFonts w:ascii="Arial" w:hAnsi="Arial" w:cs="Arial"/>
          <w:color w:val="B35E06" w:themeColor="accent1" w:themeShade="BF"/>
          <w:sz w:val="26"/>
          <w:szCs w:val="26"/>
        </w:rPr>
        <w:t>SISTEMA PENAL ACUSATORIO. CONTRA LAS DETERMINACIONES Y RESOLUCIONES DICTADAS EN RECURSOS QUE INCIDAN EN EL TEMA DE LA PERSONALIDAD, EMITIDAS DENTRO DE LA AUDIENCIA INICIAL, ES IMPROCEDENTE EL JUICIO DE AMPARO INDIRECTO, AL NO CONSTITUIR ACTOS DE IMPOSIBLE REPARACIÓN.</w:t>
      </w:r>
      <w:r w:rsidR="00EB1588">
        <w:rPr>
          <w:rStyle w:val="Refdenotaalpie"/>
          <w:rFonts w:ascii="Arial" w:hAnsi="Arial" w:cs="Arial"/>
          <w:color w:val="B35E06" w:themeColor="accent1" w:themeShade="BF"/>
          <w:sz w:val="26"/>
          <w:szCs w:val="26"/>
        </w:rPr>
        <w:footnoteReference w:id="1"/>
      </w:r>
      <w:bookmarkEnd w:id="2"/>
    </w:p>
    <w:p w:rsidR="0089689F" w:rsidRPr="00753D3A" w:rsidRDefault="0089689F" w:rsidP="0089689F">
      <w:pPr>
        <w:spacing w:after="0" w:line="240" w:lineRule="auto"/>
        <w:jc w:val="both"/>
        <w:rPr>
          <w:rFonts w:ascii="Arial" w:hAnsi="Arial" w:cs="Arial"/>
          <w:color w:val="auto"/>
        </w:rPr>
      </w:pP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De conformidad con la tesis de jurisprudencia P</w:t>
      </w:r>
      <w:proofErr w:type="gramStart"/>
      <w:r w:rsidRPr="00753D3A">
        <w:rPr>
          <w:rFonts w:ascii="Arial" w:hAnsi="Arial" w:cs="Arial"/>
          <w:color w:val="auto"/>
        </w:rPr>
        <w:t>./</w:t>
      </w:r>
      <w:proofErr w:type="gramEnd"/>
      <w:r w:rsidRPr="00753D3A">
        <w:rPr>
          <w:rFonts w:ascii="Arial" w:hAnsi="Arial" w:cs="Arial"/>
          <w:color w:val="auto"/>
        </w:rPr>
        <w:t xml:space="preserve">J. 37/2014 (10a.), emitida por el Pleno de la Suprema Corte de Justicia de la Nación, de título y subtítulo: "PERSONALIDAD. EN CONTRA DE LA </w:t>
      </w:r>
      <w:proofErr w:type="spellStart"/>
      <w:r w:rsidRPr="00753D3A">
        <w:rPr>
          <w:rFonts w:ascii="Arial" w:hAnsi="Arial" w:cs="Arial"/>
          <w:color w:val="auto"/>
        </w:rPr>
        <w:t>RESOLUCION</w:t>
      </w:r>
      <w:proofErr w:type="spellEnd"/>
      <w:r w:rsidRPr="00753D3A">
        <w:rPr>
          <w:rFonts w:ascii="Arial" w:hAnsi="Arial" w:cs="Arial"/>
          <w:color w:val="auto"/>
        </w:rPr>
        <w:t xml:space="preserve"> QUE DESECHA LA EXCEPCIÓN DE FALTA DE PERSONALIDAD SIN ULTERIOR RECURSO, ES IMPROCEDENTE EL AMPARO INDIRECTO, RESULTANDO INAPLICABLE LA JURISPRUDENCIA P./J. 4/2001 (LEY DE AMPARO VIGENTE A PARTIR DEL 3 DE ABRIL DE 2013).", el juicio de amparo indirecto es improcedente contra las resoluciones que desechan la excepción de falta de personalidad, ya que no constituyen actos de imposible reparación, al no afectar materialmente derechos sustantivos. En la ejecutoria de la que derivó ese criterio jurisprudencial, se puntualizó que a pesar de emanar de una contradicción de tesis en materia laboral, es vinculante en todas las materias. En este contexto, si en la audiencia inicial del sistema penal acusatorio se emite una determinación o se resuelve un recurso cuyos efectos inciden en el tema de la personalidad, el juicio de amparo indirecto </w:t>
      </w:r>
      <w:r w:rsidRPr="00753D3A">
        <w:rPr>
          <w:rFonts w:ascii="Arial" w:hAnsi="Arial" w:cs="Arial"/>
          <w:color w:val="auto"/>
        </w:rPr>
        <w:lastRenderedPageBreak/>
        <w:t xml:space="preserve">promovido en su contra es improcedente, al actualizarse la causa descrita en la tesis de jurisprudencia apuntada. Sin que sea óbice que ésta se apoye en el artículo 107, fracción V, de la Ley de Amparo, el cual se refiere a "actos en juicio", y que en el caso de la audiencia inicial del sistema penal acusatorio, el acto reclamado derive de una etapa que, en estricto sentido, es anterior a la de juicio oral, pues la expresión "juicio" en los términos que establece la propia ley, está empleada en un sentido lato, aunado a que el aspecto de la personalidad únicamente tendrá efectos </w:t>
      </w:r>
      <w:proofErr w:type="spellStart"/>
      <w:r w:rsidRPr="00753D3A">
        <w:rPr>
          <w:rFonts w:ascii="Arial" w:hAnsi="Arial" w:cs="Arial"/>
          <w:color w:val="auto"/>
        </w:rPr>
        <w:t>intraprocesales</w:t>
      </w:r>
      <w:proofErr w:type="spellEnd"/>
      <w:r w:rsidRPr="00753D3A">
        <w:rPr>
          <w:rFonts w:ascii="Arial" w:hAnsi="Arial" w:cs="Arial"/>
          <w:color w:val="auto"/>
        </w:rPr>
        <w:t>, los cuales pueden ser reparados si se obtiene alguna resolución favorable a los intereses del quejoso.</w:t>
      </w:r>
    </w:p>
    <w:p w:rsidR="0089689F" w:rsidRPr="00753D3A" w:rsidRDefault="0089689F" w:rsidP="0089689F">
      <w:pPr>
        <w:spacing w:after="0" w:line="240" w:lineRule="auto"/>
        <w:jc w:val="both"/>
        <w:rPr>
          <w:rFonts w:ascii="Arial" w:hAnsi="Arial" w:cs="Arial"/>
          <w:color w:val="auto"/>
        </w:rPr>
      </w:pP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DÉCIMO TRIBUNAL COLEGIADO EN MATERIA PENAL DEL PRIMER CIRCUITO.</w:t>
      </w:r>
    </w:p>
    <w:p w:rsidR="0089689F" w:rsidRPr="00753D3A" w:rsidRDefault="0089689F" w:rsidP="0089689F">
      <w:pPr>
        <w:spacing w:after="0" w:line="240" w:lineRule="auto"/>
        <w:jc w:val="both"/>
        <w:rPr>
          <w:rFonts w:ascii="Arial" w:hAnsi="Arial" w:cs="Arial"/>
          <w:color w:val="auto"/>
        </w:rPr>
      </w:pP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Amparo en revisión 165/2019. 20 de septiembre de 2019. Unanimidad de votos. Ponente: Carlos López Cruz. Secretario: César Roberto Hernández Aguilar.</w:t>
      </w:r>
    </w:p>
    <w:p w:rsidR="0089689F" w:rsidRPr="00753D3A" w:rsidRDefault="0089689F" w:rsidP="0089689F">
      <w:pPr>
        <w:spacing w:after="0" w:line="240" w:lineRule="auto"/>
        <w:jc w:val="both"/>
        <w:rPr>
          <w:rFonts w:ascii="Arial" w:hAnsi="Arial" w:cs="Arial"/>
          <w:color w:val="auto"/>
        </w:rPr>
      </w:pPr>
    </w:p>
    <w:p w:rsidR="0089689F" w:rsidRPr="00753D3A" w:rsidRDefault="0089689F" w:rsidP="0089689F">
      <w:pPr>
        <w:spacing w:after="0" w:line="240" w:lineRule="auto"/>
        <w:jc w:val="both"/>
        <w:rPr>
          <w:rFonts w:ascii="Arial" w:hAnsi="Arial" w:cs="Arial"/>
          <w:color w:val="auto"/>
        </w:rPr>
      </w:pPr>
      <w:r w:rsidRPr="00753D3A">
        <w:rPr>
          <w:rFonts w:ascii="Arial" w:hAnsi="Arial" w:cs="Arial"/>
          <w:color w:val="auto"/>
        </w:rPr>
        <w:t>Nota: La tesis de jurisprudencia P./J. 37/2014 (10a.) citada, aparece publicada en el Semanario Judicial de la Federación del viernes 6 de junio de 2014 a las 12:30 horas y en la Gaceta del Semanario Judicial de la Federación, Décima Época, Libro 7, Tomo I, junio de 2014, página 39, con número de registro digital: 2006589.</w:t>
      </w:r>
    </w:p>
    <w:p w:rsidR="0089689F" w:rsidRPr="00753D3A" w:rsidRDefault="0089689F" w:rsidP="0089689F">
      <w:pPr>
        <w:spacing w:after="0" w:line="240" w:lineRule="auto"/>
        <w:jc w:val="both"/>
        <w:rPr>
          <w:rFonts w:ascii="Arial" w:hAnsi="Arial" w:cs="Arial"/>
          <w:color w:val="auto"/>
        </w:rPr>
      </w:pPr>
    </w:p>
    <w:p w:rsidR="007669BC" w:rsidRPr="00753D3A" w:rsidRDefault="007669BC" w:rsidP="00A54A0F">
      <w:pPr>
        <w:spacing w:after="0" w:line="240" w:lineRule="auto"/>
        <w:jc w:val="both"/>
        <w:rPr>
          <w:rFonts w:ascii="Arial" w:hAnsi="Arial" w:cs="Arial"/>
          <w:color w:val="auto"/>
        </w:rPr>
      </w:pPr>
    </w:p>
    <w:p w:rsidR="007669BC" w:rsidRPr="00753D3A" w:rsidRDefault="00EB1588" w:rsidP="007669BC">
      <w:pPr>
        <w:spacing w:after="0" w:line="240" w:lineRule="auto"/>
        <w:jc w:val="both"/>
        <w:rPr>
          <w:rFonts w:ascii="Arial" w:hAnsi="Arial" w:cs="Arial"/>
          <w:color w:val="auto"/>
        </w:rPr>
      </w:pPr>
      <w:r>
        <w:rPr>
          <w:rFonts w:ascii="Arial" w:hAnsi="Arial" w:cs="Arial"/>
          <w:color w:val="auto"/>
        </w:rPr>
        <w:t xml:space="preserve">3. </w:t>
      </w:r>
      <w:r w:rsidR="007669BC" w:rsidRPr="00753D3A">
        <w:rPr>
          <w:rFonts w:ascii="Arial" w:hAnsi="Arial" w:cs="Arial"/>
          <w:color w:val="auto"/>
        </w:rPr>
        <w:t xml:space="preserve">Época: Décima Época </w:t>
      </w: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 xml:space="preserve">Registro: 2021434 </w:t>
      </w: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 xml:space="preserve">Instancia: Tribunales Colegiados de Circuito </w:t>
      </w: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 xml:space="preserve">Tipo de Tesis: Aislada </w:t>
      </w: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 xml:space="preserve">Fuente: Semanario Judicial de la Federación </w:t>
      </w: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 xml:space="preserve">Publicación: viernes 17 de enero de 2020 10:18 h </w:t>
      </w: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 xml:space="preserve">Materia(s): (Común, Penal) </w:t>
      </w: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 xml:space="preserve">Tesis: I.10o.P.33 P (10a.) </w:t>
      </w:r>
    </w:p>
    <w:p w:rsidR="007669BC" w:rsidRPr="00753D3A" w:rsidRDefault="007669BC" w:rsidP="007669BC">
      <w:pPr>
        <w:spacing w:after="0" w:line="240" w:lineRule="auto"/>
        <w:jc w:val="both"/>
        <w:rPr>
          <w:rFonts w:ascii="Arial" w:hAnsi="Arial" w:cs="Arial"/>
          <w:color w:val="auto"/>
        </w:rPr>
      </w:pPr>
    </w:p>
    <w:p w:rsidR="007669BC" w:rsidRPr="00EB1588" w:rsidRDefault="007669BC" w:rsidP="00EB1588">
      <w:pPr>
        <w:pStyle w:val="Ttulo2"/>
        <w:jc w:val="both"/>
        <w:rPr>
          <w:rFonts w:ascii="Arial" w:hAnsi="Arial" w:cs="Arial"/>
          <w:sz w:val="26"/>
          <w:szCs w:val="26"/>
        </w:rPr>
      </w:pPr>
      <w:bookmarkStart w:id="3" w:name="_Toc30597555"/>
      <w:r w:rsidRPr="00EB1588">
        <w:rPr>
          <w:rFonts w:ascii="Arial" w:hAnsi="Arial" w:cs="Arial"/>
          <w:color w:val="B35E06" w:themeColor="accent1" w:themeShade="BF"/>
          <w:sz w:val="26"/>
          <w:szCs w:val="26"/>
        </w:rPr>
        <w:lastRenderedPageBreak/>
        <w:t>RESOLUCIÓN EMITIDA POR EL JUEZ DE CONTROL EN EL RECURSO INNOMINADO PREVISTO EN EL ARTÍCULO 258 DEL CÓDIGO NACIONAL DE PROCEDIMIENTOS PENALES. EN SU CONTRA ES INNECESARIO AGOTAR MEDIO DE DEFENSA ALGUNO, PREVIO A PROMOVER EL JUICIO DE AMPARO INDIRECTO.</w:t>
      </w:r>
      <w:r w:rsidR="00EB1588">
        <w:rPr>
          <w:rStyle w:val="Refdenotaalpie"/>
          <w:rFonts w:ascii="Arial" w:hAnsi="Arial" w:cs="Arial"/>
          <w:color w:val="B35E06" w:themeColor="accent1" w:themeShade="BF"/>
          <w:sz w:val="26"/>
          <w:szCs w:val="26"/>
        </w:rPr>
        <w:footnoteReference w:id="2"/>
      </w:r>
      <w:bookmarkEnd w:id="3"/>
    </w:p>
    <w:p w:rsidR="007669BC" w:rsidRPr="00753D3A" w:rsidRDefault="007669BC" w:rsidP="007669BC">
      <w:pPr>
        <w:spacing w:after="0" w:line="240" w:lineRule="auto"/>
        <w:jc w:val="both"/>
        <w:rPr>
          <w:rFonts w:ascii="Arial" w:hAnsi="Arial" w:cs="Arial"/>
          <w:color w:val="auto"/>
        </w:rPr>
      </w:pP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Del artículo mencionado se advierte que la resolución que emita el Juez de control en sus términos, no admite recurso alguno, lo que significa que en su contra son improcedentes tanto la apelación como la revocación, con independencia de que el juzgador haya dado trámite al recurso y analizado el fondo de la controversia, o bien, resuelto sin mayor trámite. De ahí que contra la resolución emitida por el Juez de control en el recurso innominado previsto en el citado numeral procedería, en su caso, el juicio de amparo indirecto, sin necesidad de agotar algún otro recurso o medio de defensa que conceda la ley ordinaria, pues de estimar lo contrario no sólo se estaría introduciendo un recurso no previsto por la ley, sino también se actuaría en perjuicio de la pronta impartición de justicia, a que se refieren los artículos 17 de la Constitución Política de los Estados Unidos Mexicanos y 16 del Código Nacional de Procedimientos Penales.</w:t>
      </w:r>
    </w:p>
    <w:p w:rsidR="007669BC" w:rsidRPr="00753D3A" w:rsidRDefault="007669BC" w:rsidP="007669BC">
      <w:pPr>
        <w:spacing w:after="0" w:line="240" w:lineRule="auto"/>
        <w:jc w:val="both"/>
        <w:rPr>
          <w:rFonts w:ascii="Arial" w:hAnsi="Arial" w:cs="Arial"/>
          <w:color w:val="auto"/>
        </w:rPr>
      </w:pP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DÉCIMO TRIBUNAL COLEGIADO EN MATERIA PENAL DEL PRIMER CIRCUITO.</w:t>
      </w:r>
    </w:p>
    <w:p w:rsidR="007669BC" w:rsidRPr="00753D3A" w:rsidRDefault="007669BC" w:rsidP="007669BC">
      <w:pPr>
        <w:spacing w:after="0" w:line="240" w:lineRule="auto"/>
        <w:jc w:val="both"/>
        <w:rPr>
          <w:rFonts w:ascii="Arial" w:hAnsi="Arial" w:cs="Arial"/>
          <w:color w:val="auto"/>
        </w:rPr>
      </w:pPr>
    </w:p>
    <w:p w:rsidR="007669BC" w:rsidRPr="00753D3A" w:rsidRDefault="007669BC" w:rsidP="007669BC">
      <w:pPr>
        <w:spacing w:after="0" w:line="240" w:lineRule="auto"/>
        <w:jc w:val="both"/>
        <w:rPr>
          <w:rFonts w:ascii="Arial" w:hAnsi="Arial" w:cs="Arial"/>
          <w:color w:val="auto"/>
        </w:rPr>
      </w:pPr>
      <w:r w:rsidRPr="00753D3A">
        <w:rPr>
          <w:rFonts w:ascii="Arial" w:hAnsi="Arial" w:cs="Arial"/>
          <w:color w:val="auto"/>
        </w:rPr>
        <w:t xml:space="preserve">Amparo en revisión 125/2019. 13 de junio de 2019. Unanimidad de votos. Ponente: Silvia </w:t>
      </w:r>
      <w:proofErr w:type="spellStart"/>
      <w:r w:rsidRPr="00753D3A">
        <w:rPr>
          <w:rFonts w:ascii="Arial" w:hAnsi="Arial" w:cs="Arial"/>
          <w:color w:val="auto"/>
        </w:rPr>
        <w:t>Estrever</w:t>
      </w:r>
      <w:proofErr w:type="spellEnd"/>
      <w:r w:rsidRPr="00753D3A">
        <w:rPr>
          <w:rFonts w:ascii="Arial" w:hAnsi="Arial" w:cs="Arial"/>
          <w:color w:val="auto"/>
        </w:rPr>
        <w:t xml:space="preserve"> Escamilla. Secretario: Aureliano Pérez </w:t>
      </w:r>
      <w:proofErr w:type="spellStart"/>
      <w:r w:rsidRPr="00753D3A">
        <w:rPr>
          <w:rFonts w:ascii="Arial" w:hAnsi="Arial" w:cs="Arial"/>
          <w:color w:val="auto"/>
        </w:rPr>
        <w:t>Telles</w:t>
      </w:r>
      <w:proofErr w:type="spellEnd"/>
      <w:r w:rsidRPr="00753D3A">
        <w:rPr>
          <w:rFonts w:ascii="Arial" w:hAnsi="Arial" w:cs="Arial"/>
          <w:color w:val="auto"/>
        </w:rPr>
        <w:t>.</w:t>
      </w:r>
    </w:p>
    <w:p w:rsidR="007669BC" w:rsidRPr="00753D3A" w:rsidRDefault="007669BC" w:rsidP="007669BC">
      <w:pPr>
        <w:spacing w:after="0" w:line="240" w:lineRule="auto"/>
        <w:jc w:val="both"/>
        <w:rPr>
          <w:rFonts w:ascii="Arial" w:hAnsi="Arial" w:cs="Arial"/>
          <w:color w:val="auto"/>
        </w:rPr>
      </w:pPr>
    </w:p>
    <w:p w:rsidR="001810C6" w:rsidRDefault="001810C6" w:rsidP="001810C6">
      <w:pPr>
        <w:spacing w:after="0" w:line="240" w:lineRule="auto"/>
        <w:jc w:val="both"/>
        <w:rPr>
          <w:rFonts w:ascii="Arial" w:hAnsi="Arial" w:cs="Arial"/>
          <w:color w:val="auto"/>
        </w:rPr>
      </w:pPr>
    </w:p>
    <w:p w:rsidR="001810C6" w:rsidRPr="001810C6" w:rsidRDefault="00EB1588" w:rsidP="001810C6">
      <w:pPr>
        <w:spacing w:after="0" w:line="240" w:lineRule="auto"/>
        <w:jc w:val="both"/>
        <w:rPr>
          <w:rFonts w:ascii="Arial" w:hAnsi="Arial" w:cs="Arial"/>
          <w:color w:val="auto"/>
        </w:rPr>
      </w:pPr>
      <w:r>
        <w:rPr>
          <w:rFonts w:ascii="Arial" w:hAnsi="Arial" w:cs="Arial"/>
          <w:color w:val="auto"/>
        </w:rPr>
        <w:t xml:space="preserve">4. </w:t>
      </w:r>
      <w:r w:rsidR="001810C6" w:rsidRPr="001810C6">
        <w:rPr>
          <w:rFonts w:ascii="Arial" w:hAnsi="Arial" w:cs="Arial"/>
          <w:color w:val="auto"/>
        </w:rPr>
        <w:t xml:space="preserve">Época: Décima Época </w:t>
      </w: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 xml:space="preserve">Registro: 2021429 </w:t>
      </w: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 xml:space="preserve">Instancia: Tribunales Colegiados de Circuito </w:t>
      </w: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 xml:space="preserve">Tipo de Tesis: Aislada </w:t>
      </w: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 xml:space="preserve">Fuente: Semanario Judicial de la Federación </w:t>
      </w: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 xml:space="preserve">Publicación: viernes 17 de enero de 2020 10:18 h </w:t>
      </w: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 xml:space="preserve">Materia(s): (Común) </w:t>
      </w: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 xml:space="preserve">Tesis: XVII.2o.C.T.13 C (10a.) </w:t>
      </w:r>
    </w:p>
    <w:p w:rsidR="001810C6" w:rsidRPr="001810C6" w:rsidRDefault="001810C6" w:rsidP="001810C6">
      <w:pPr>
        <w:spacing w:after="0" w:line="240" w:lineRule="auto"/>
        <w:jc w:val="both"/>
        <w:rPr>
          <w:rFonts w:ascii="Arial" w:hAnsi="Arial" w:cs="Arial"/>
          <w:color w:val="auto"/>
        </w:rPr>
      </w:pPr>
    </w:p>
    <w:p w:rsidR="001810C6" w:rsidRPr="00EB1588" w:rsidRDefault="001810C6" w:rsidP="00EB1588">
      <w:pPr>
        <w:pStyle w:val="Ttulo2"/>
        <w:jc w:val="both"/>
        <w:rPr>
          <w:rFonts w:ascii="Arial" w:hAnsi="Arial" w:cs="Arial"/>
          <w:color w:val="B35E06" w:themeColor="accent1" w:themeShade="BF"/>
          <w:sz w:val="26"/>
          <w:szCs w:val="26"/>
        </w:rPr>
      </w:pPr>
      <w:bookmarkStart w:id="4" w:name="_Toc30597556"/>
      <w:r w:rsidRPr="00EB1588">
        <w:rPr>
          <w:rFonts w:ascii="Arial" w:hAnsi="Arial" w:cs="Arial"/>
          <w:color w:val="B35E06" w:themeColor="accent1" w:themeShade="BF"/>
          <w:sz w:val="26"/>
          <w:szCs w:val="26"/>
        </w:rPr>
        <w:lastRenderedPageBreak/>
        <w:t>RECURSO DE APELACIÓN PREVISTO EN EL ARTÍCULO 626 DEL CÓDIGO DE PROCEDIMIENTOS CIVILES DEL ESTADO DE CHIHUAHUA. ES OPTATIVO AGOTARLO PREVIO A PROMOVER EL JUICIO DE AMPARO DIRECTO, CONTRA LAS SENTENCIAS DICTADAS EN JUICIOS DERIVADOS DE LA ACCIÓN ESPECIAL DE DESOCUPACIÓN DE INMUEBLES EN ARRENDAMIENTO SI EL NEGOCIO ES ESTIMABLE PECUNIARIAMENTE.</w:t>
      </w:r>
      <w:r w:rsidR="00EB1588">
        <w:rPr>
          <w:rStyle w:val="Refdenotaalpie"/>
          <w:rFonts w:ascii="Arial" w:hAnsi="Arial" w:cs="Arial"/>
          <w:color w:val="B35E06" w:themeColor="accent1" w:themeShade="BF"/>
          <w:sz w:val="26"/>
          <w:szCs w:val="26"/>
        </w:rPr>
        <w:footnoteReference w:id="3"/>
      </w:r>
      <w:bookmarkEnd w:id="4"/>
    </w:p>
    <w:p w:rsidR="001810C6" w:rsidRPr="001810C6" w:rsidRDefault="001810C6" w:rsidP="001810C6">
      <w:pPr>
        <w:spacing w:after="0" w:line="240" w:lineRule="auto"/>
        <w:jc w:val="both"/>
        <w:rPr>
          <w:rFonts w:ascii="Arial" w:hAnsi="Arial" w:cs="Arial"/>
          <w:color w:val="auto"/>
        </w:rPr>
      </w:pP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 xml:space="preserve">Cuando en un juicio se ejercita la acción especial de desocupación del inmueble dado en arrendamiento y el negocio sea estimable pecuniariamente por reclamarse prestaciones periódicas, constituye una excepción al principio de </w:t>
      </w:r>
      <w:proofErr w:type="spellStart"/>
      <w:r w:rsidRPr="001810C6">
        <w:rPr>
          <w:rFonts w:ascii="Arial" w:hAnsi="Arial" w:cs="Arial"/>
          <w:color w:val="auto"/>
        </w:rPr>
        <w:t>definitividad</w:t>
      </w:r>
      <w:proofErr w:type="spellEnd"/>
      <w:r w:rsidRPr="001810C6">
        <w:rPr>
          <w:rFonts w:ascii="Arial" w:hAnsi="Arial" w:cs="Arial"/>
          <w:color w:val="auto"/>
        </w:rPr>
        <w:t>, previo a la promoción del juicio de amparo directo, agotar el recurso de apelación, toda vez que para determinar su procedencia, es necesario realizar una interpretación adicional, pues ello no se obtiene de la simple consulta del artículo 626 del Código de Procedimientos Civiles del Estado de Chihuahua, que regula expresamente dicho recurso contra resoluciones judiciales si el importe del negocio excede de 500 Unidades de Medida de Actualización; sino que para conocer de su procedencia, se requiere que el gobernado acuda a la Ley para Determinar el Valor de la Unidad de Medida y Actualización, como a los preceptos inmersos dentro del capítulo II, relativo a las "Reglas para la fijación de la competencia", del título tercero, denominado "Competencia", del código referido, ya que el artículo 168 al que remite aquél (626), sólo expresa cómo debe determinarse la cuantía del negocio. Por lo que también necesita desentrañarse si tiene que observarse el siguiente precepto 169, donde se contempla una regla especial de computar el importe del negocio atendiendo al monto de un año, cuando se trate del ejercicio de acciones de actos o contratos en los que se pacten prestaciones o pensiones periódicas, o bien, omitirlo porque aplica sólo para fijar la competencia por cuantía.</w:t>
      </w:r>
    </w:p>
    <w:p w:rsidR="001810C6" w:rsidRPr="001810C6" w:rsidRDefault="001810C6" w:rsidP="001810C6">
      <w:pPr>
        <w:spacing w:after="0" w:line="240" w:lineRule="auto"/>
        <w:jc w:val="both"/>
        <w:rPr>
          <w:rFonts w:ascii="Arial" w:hAnsi="Arial" w:cs="Arial"/>
          <w:color w:val="auto"/>
        </w:rPr>
      </w:pP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SEGUNDO TRIBUNAL COLEGIADO EN MATERIAS CIVIL Y DE TRABAJO DEL DÉCIMO SÉPTIMO CIRCUITO.</w:t>
      </w:r>
    </w:p>
    <w:p w:rsidR="001810C6" w:rsidRPr="001810C6" w:rsidRDefault="001810C6" w:rsidP="001810C6">
      <w:pPr>
        <w:spacing w:after="0" w:line="240" w:lineRule="auto"/>
        <w:jc w:val="both"/>
        <w:rPr>
          <w:rFonts w:ascii="Arial" w:hAnsi="Arial" w:cs="Arial"/>
          <w:color w:val="auto"/>
        </w:rPr>
      </w:pP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t xml:space="preserve">Amparo directo 287/2019. Manuel Humberto </w:t>
      </w:r>
      <w:proofErr w:type="spellStart"/>
      <w:r w:rsidRPr="001810C6">
        <w:rPr>
          <w:rFonts w:ascii="Arial" w:hAnsi="Arial" w:cs="Arial"/>
          <w:color w:val="auto"/>
        </w:rPr>
        <w:t>Burciaga</w:t>
      </w:r>
      <w:proofErr w:type="spellEnd"/>
      <w:r w:rsidRPr="001810C6">
        <w:rPr>
          <w:rFonts w:ascii="Arial" w:hAnsi="Arial" w:cs="Arial"/>
          <w:color w:val="auto"/>
        </w:rPr>
        <w:t xml:space="preserve"> Vásquez y otro. 5 de septiembre de 2019. Unanimidad de votos. Ponente: Ignacio Cuenca Zamora. Secretaria: Beatriz Soto Silva.</w:t>
      </w:r>
    </w:p>
    <w:p w:rsidR="001810C6" w:rsidRPr="001810C6" w:rsidRDefault="001810C6" w:rsidP="001810C6">
      <w:pPr>
        <w:spacing w:after="0" w:line="240" w:lineRule="auto"/>
        <w:jc w:val="both"/>
        <w:rPr>
          <w:rFonts w:ascii="Arial" w:hAnsi="Arial" w:cs="Arial"/>
          <w:color w:val="auto"/>
        </w:rPr>
      </w:pPr>
    </w:p>
    <w:p w:rsidR="001810C6" w:rsidRPr="001810C6" w:rsidRDefault="001810C6" w:rsidP="001810C6">
      <w:pPr>
        <w:spacing w:after="0" w:line="240" w:lineRule="auto"/>
        <w:jc w:val="both"/>
        <w:rPr>
          <w:rFonts w:ascii="Arial" w:hAnsi="Arial" w:cs="Arial"/>
          <w:color w:val="auto"/>
        </w:rPr>
      </w:pPr>
      <w:r w:rsidRPr="001810C6">
        <w:rPr>
          <w:rFonts w:ascii="Arial" w:hAnsi="Arial" w:cs="Arial"/>
          <w:color w:val="auto"/>
        </w:rPr>
        <w:lastRenderedPageBreak/>
        <w:t>Nota: El criterio contenido en esta tesis es objeto de la denuncia relativa a la contradicción de tesis 7/2019, pendiente de resolverse por el Pleno del Decimoséptimo Circuito.</w:t>
      </w:r>
    </w:p>
    <w:p w:rsidR="001810C6" w:rsidRPr="001810C6" w:rsidRDefault="001810C6" w:rsidP="001810C6">
      <w:pPr>
        <w:spacing w:after="0" w:line="240" w:lineRule="auto"/>
        <w:jc w:val="both"/>
        <w:rPr>
          <w:rFonts w:ascii="Arial" w:hAnsi="Arial" w:cs="Arial"/>
          <w:color w:val="auto"/>
        </w:rPr>
      </w:pPr>
    </w:p>
    <w:p w:rsidR="001810C6" w:rsidRDefault="001810C6" w:rsidP="00611792">
      <w:pPr>
        <w:spacing w:after="0" w:line="240" w:lineRule="auto"/>
        <w:jc w:val="both"/>
        <w:rPr>
          <w:rFonts w:ascii="Arial" w:hAnsi="Arial" w:cs="Arial"/>
          <w:color w:val="auto"/>
        </w:rPr>
      </w:pPr>
    </w:p>
    <w:p w:rsidR="00611792" w:rsidRPr="00753D3A" w:rsidRDefault="00EB1588" w:rsidP="00611792">
      <w:pPr>
        <w:spacing w:after="0" w:line="240" w:lineRule="auto"/>
        <w:jc w:val="both"/>
        <w:rPr>
          <w:rFonts w:ascii="Arial" w:hAnsi="Arial" w:cs="Arial"/>
          <w:color w:val="auto"/>
        </w:rPr>
      </w:pPr>
      <w:r>
        <w:rPr>
          <w:rFonts w:ascii="Arial" w:hAnsi="Arial" w:cs="Arial"/>
          <w:color w:val="auto"/>
        </w:rPr>
        <w:t xml:space="preserve">5. </w:t>
      </w:r>
      <w:r w:rsidR="00611792" w:rsidRPr="00753D3A">
        <w:rPr>
          <w:rFonts w:ascii="Arial" w:hAnsi="Arial" w:cs="Arial"/>
          <w:color w:val="auto"/>
        </w:rPr>
        <w:t xml:space="preserve">Época: Décima Época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Registro: 2021424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Instancia: Tribunales Colegiados de Circuito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Tipo de Tesis: Aislada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Fuente: Semanario Judicial de la Federación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Publicación: viernes 17 de enero de 2020 10:18 h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Materia(s): (Constitucional)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Tesis: I.7o.A.175 A (10a.) </w:t>
      </w:r>
    </w:p>
    <w:p w:rsidR="00611792" w:rsidRPr="00753D3A" w:rsidRDefault="00611792" w:rsidP="00611792">
      <w:pPr>
        <w:spacing w:after="0" w:line="240" w:lineRule="auto"/>
        <w:jc w:val="both"/>
        <w:rPr>
          <w:rFonts w:ascii="Arial" w:hAnsi="Arial" w:cs="Arial"/>
          <w:color w:val="auto"/>
        </w:rPr>
      </w:pPr>
    </w:p>
    <w:p w:rsidR="00611792" w:rsidRPr="005A69CD" w:rsidRDefault="00611792" w:rsidP="005A69CD">
      <w:pPr>
        <w:pStyle w:val="Ttulo2"/>
        <w:jc w:val="both"/>
        <w:rPr>
          <w:rFonts w:ascii="Arial" w:hAnsi="Arial" w:cs="Arial"/>
          <w:color w:val="B35E06" w:themeColor="accent1" w:themeShade="BF"/>
          <w:sz w:val="26"/>
          <w:szCs w:val="26"/>
        </w:rPr>
      </w:pPr>
      <w:bookmarkStart w:id="5" w:name="_Toc30597557"/>
      <w:r w:rsidRPr="005A69CD">
        <w:rPr>
          <w:rFonts w:ascii="Arial" w:hAnsi="Arial" w:cs="Arial"/>
          <w:color w:val="B35E06" w:themeColor="accent1" w:themeShade="BF"/>
          <w:sz w:val="26"/>
          <w:szCs w:val="26"/>
        </w:rPr>
        <w:t xml:space="preserve">PENSIÓN POR CAUSA DE MUERTE. EL ARTÍCULO 131, FRACCIÓN III, ÚLTIMA PARTE, DE LA LEY DEL INSTITUTO DE SEGURIDAD Y SERVICIOS SOCIALES DE LOS TRABAJADORES DEL ESTADO, AL </w:t>
      </w:r>
      <w:r w:rsidR="005A69CD">
        <w:rPr>
          <w:rFonts w:ascii="Arial" w:hAnsi="Arial" w:cs="Arial"/>
          <w:color w:val="B35E06" w:themeColor="accent1" w:themeShade="BF"/>
          <w:sz w:val="26"/>
          <w:szCs w:val="26"/>
        </w:rPr>
        <w:t xml:space="preserve"> </w:t>
      </w:r>
      <w:r w:rsidRPr="005A69CD">
        <w:rPr>
          <w:rFonts w:ascii="Arial" w:hAnsi="Arial" w:cs="Arial"/>
          <w:color w:val="B35E06" w:themeColor="accent1" w:themeShade="BF"/>
          <w:sz w:val="26"/>
          <w:szCs w:val="26"/>
        </w:rPr>
        <w:t>NO CONSIDERAR PARA TENER DERECHO A ESE BENEFICIO A FAMILIARES SUSCEPTIBLES DE PROTECCIÓN QUE HUBIESEN DEPENDIDO ECONÓMICAMENTE DEL TRABAJADOR O PENSIONADO FALLECIDO, DISTINTOS DE SUS ASCENDIENTES, VIOLA LOS PRINCIPIOS CONSTITUCIONALES DE SEGURIDAD Y PREVISIÓN SOCIAL.</w:t>
      </w:r>
      <w:r w:rsidR="00ED00C8">
        <w:rPr>
          <w:rStyle w:val="Refdenotaalpie"/>
          <w:rFonts w:ascii="Arial" w:hAnsi="Arial" w:cs="Arial"/>
          <w:color w:val="B35E06" w:themeColor="accent1" w:themeShade="BF"/>
          <w:sz w:val="26"/>
          <w:szCs w:val="26"/>
        </w:rPr>
        <w:footnoteReference w:id="4"/>
      </w:r>
      <w:bookmarkEnd w:id="5"/>
    </w:p>
    <w:p w:rsidR="00611792" w:rsidRPr="00753D3A" w:rsidRDefault="00611792" w:rsidP="00611792">
      <w:pPr>
        <w:spacing w:after="0" w:line="240" w:lineRule="auto"/>
        <w:jc w:val="both"/>
        <w:rPr>
          <w:rFonts w:ascii="Arial" w:hAnsi="Arial" w:cs="Arial"/>
          <w:color w:val="auto"/>
        </w:rPr>
      </w:pP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El artículo 123, apartado B, fracción XI, inciso a), de la Constitución Política de los Estados Unidos Mexicanos no sólo contiene las bases mínimas de la seguridad social para los trabajadores al servicio del Estado, sino que de él también deriva el principio de previsión social, sustentado en la obligación de establecer un sistema íntegro que otorgue tranquilidad y bienestar personal a los trabajadores y a sus familias, ante los riesgos a que están expuestos, orientados a procurar el mejoramiento de su calidad de vida. Por su parte, el artículo 4o., primer párrafo, constitucional reconoce el derecho fundamental a la protección de la familia (su organización y desarrollo), concebida en un sentido amplio, esto es, entendida como realidad social, lo que significa que esa protección debe cubrir todas sus formas y manifestaciones existentes en la sociedad, sea cual sea la forma en que </w:t>
      </w:r>
      <w:r w:rsidRPr="00753D3A">
        <w:rPr>
          <w:rFonts w:ascii="Arial" w:hAnsi="Arial" w:cs="Arial"/>
          <w:color w:val="auto"/>
        </w:rPr>
        <w:lastRenderedPageBreak/>
        <w:t>se constituya, por lo que esa protección es la que debe garantizar el legislador ordinario, sin encontrarse sujeto a una concepción predeterminada. En estas condiciones, el artículo 131, fracción III, última parte, de la Ley del Instituto de Seguridad y Servicios Sociales de los Trabajadores del Estado, al establecer que los familiares derechohabientes que tienen derecho a gozar de una pensión por causa de muerte, a falta de cónyuge, hijos, concubina o concubinario, madre o padre del trabajador o pensionado fallecido, serán únicamente los demás ascendientes, en caso de que hubiesen dependido económicamente del trabajador o pensionado, sin considerar otro tipo de parentescos susceptibles de protección, viola los principios constitucionales de seguridad y previsión social. Lo anterior, porque la pensión por causa de muerte no es una concesión gratuita o generosa, sino que constituye un seguro que se activa con la muerte del trabajador o pensionado y deriva directamente de las aportaciones que éste realizó por determinado número de años y una de las finalidades de éstas es garantizar, aunque sea en parte, la subsistencia de su familia después de su muerte; de ahí que el disfrute de ese derecho busca hacer efectivo el principio de previsión social, orientado a otorgar tranquilidad y bienestar a los familiares del trabajador o pensionado muerto, por lo que no se advierte justificación alguna para restringir el acceso a ese tipo de pensiones a integrantes de la familia diversos del cónyuge, hijos, concubina o concubinario, madre o padre o demás ascendientes quienes, además de acreditar una dependencia económica formaban parte de un mismo núcleo familiar, sustentado en principios de solidaridad, asistencia y ayuda mutua que responden a vínculos sanguíneos y afectivos que deben ser protegidos.</w:t>
      </w:r>
    </w:p>
    <w:p w:rsidR="00611792" w:rsidRPr="00753D3A" w:rsidRDefault="00611792" w:rsidP="00611792">
      <w:pPr>
        <w:spacing w:after="0" w:line="240" w:lineRule="auto"/>
        <w:jc w:val="both"/>
        <w:rPr>
          <w:rFonts w:ascii="Arial" w:hAnsi="Arial" w:cs="Arial"/>
          <w:color w:val="auto"/>
        </w:rPr>
      </w:pP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SÉPTIMO TRIBUNAL COLEGIADO EN MATERIA ADMINISTRATIVA DEL PRIMER CIRCUITO.</w:t>
      </w:r>
    </w:p>
    <w:p w:rsidR="00611792" w:rsidRPr="00753D3A" w:rsidRDefault="00611792" w:rsidP="00611792">
      <w:pPr>
        <w:spacing w:after="0" w:line="240" w:lineRule="auto"/>
        <w:jc w:val="both"/>
        <w:rPr>
          <w:rFonts w:ascii="Arial" w:hAnsi="Arial" w:cs="Arial"/>
          <w:color w:val="auto"/>
        </w:rPr>
      </w:pP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Amparo directo 615/2018. Celia Pineda Ramírez. 23 de octubre de 2019. Unanimidad de votos. Ponente: Sandra de Jesús Zúñiga, secretaria de tribunal autorizada por la Comisión de Carrera Judicial del Consejo de la Judicatura Federal para desempeñar las funciones de Magistrada. Secretario: Alejandro Lucero de la Rosa.</w:t>
      </w:r>
    </w:p>
    <w:p w:rsidR="00611792" w:rsidRPr="00753D3A" w:rsidRDefault="00611792" w:rsidP="00611792">
      <w:pPr>
        <w:spacing w:after="0" w:line="240" w:lineRule="auto"/>
        <w:jc w:val="both"/>
        <w:rPr>
          <w:rFonts w:ascii="Arial" w:hAnsi="Arial" w:cs="Arial"/>
          <w:color w:val="auto"/>
        </w:rPr>
      </w:pP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Nota: Esta tesis refleja un criterio firme sustentado por un Tribunal Colegiado de Circuito al resolver un juicio de amparo directo, por lo que atendiendo a la tesis P. LX/98, publicada en el Semanario Judicial de la Federación y su Gaceta, Novena Época, Tomo VIII, septiembre de 1998, página 56, con número de registro digital: 195528, de rubro: "TRIBUNALES COLEGIADOS DE CIRCUITO. AUNQUE LAS CONSIDERACIONES SOBRE CONSTITUCIONALIDAD DE LEYES QUE </w:t>
      </w:r>
      <w:r w:rsidRPr="00753D3A">
        <w:rPr>
          <w:rFonts w:ascii="Arial" w:hAnsi="Arial" w:cs="Arial"/>
          <w:color w:val="auto"/>
        </w:rPr>
        <w:lastRenderedPageBreak/>
        <w:t>EFECTÚAN EN LOS JUICIOS DE AMPARO DIRECTO, NO SON APTAS PARA INTEGRAR JURISPRUDENCIA, RESULTA ÚTIL LA PUBLICACIÓN DE LOS CRITERIOS.", no es obligatorio ni apto para integrar jurisprudencia.</w:t>
      </w:r>
    </w:p>
    <w:p w:rsidR="00611792" w:rsidRPr="00753D3A" w:rsidRDefault="00611792" w:rsidP="00611792">
      <w:pPr>
        <w:spacing w:after="0" w:line="240" w:lineRule="auto"/>
        <w:jc w:val="both"/>
        <w:rPr>
          <w:rFonts w:ascii="Arial" w:hAnsi="Arial" w:cs="Arial"/>
          <w:color w:val="auto"/>
        </w:rPr>
      </w:pPr>
    </w:p>
    <w:p w:rsidR="00611792" w:rsidRPr="00753D3A" w:rsidRDefault="00611792" w:rsidP="00A54A0F">
      <w:pPr>
        <w:spacing w:after="0" w:line="240" w:lineRule="auto"/>
        <w:jc w:val="both"/>
        <w:rPr>
          <w:rFonts w:ascii="Arial" w:hAnsi="Arial" w:cs="Arial"/>
          <w:color w:val="auto"/>
        </w:rPr>
      </w:pPr>
    </w:p>
    <w:p w:rsidR="00611792" w:rsidRPr="00753D3A" w:rsidRDefault="00C630BB" w:rsidP="00611792">
      <w:pPr>
        <w:spacing w:after="0" w:line="240" w:lineRule="auto"/>
        <w:jc w:val="both"/>
        <w:rPr>
          <w:rFonts w:ascii="Arial" w:hAnsi="Arial" w:cs="Arial"/>
          <w:color w:val="auto"/>
        </w:rPr>
      </w:pPr>
      <w:r>
        <w:rPr>
          <w:rFonts w:ascii="Arial" w:hAnsi="Arial" w:cs="Arial"/>
          <w:color w:val="auto"/>
        </w:rPr>
        <w:t xml:space="preserve">6. </w:t>
      </w:r>
      <w:r w:rsidR="00611792" w:rsidRPr="00753D3A">
        <w:rPr>
          <w:rFonts w:ascii="Arial" w:hAnsi="Arial" w:cs="Arial"/>
          <w:color w:val="auto"/>
        </w:rPr>
        <w:t xml:space="preserve">Época: Décima Época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Registro: 2021423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Instancia: Tribunales Colegiados de Circuito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Tipo de Tesis: Aislada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Fuente: Semanario Judicial de la Federación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Publicación: viernes 17 de enero de 2020 10:18 h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Materia(s): (Constitucional) </w:t>
      </w: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Tesis: I.7o.A.174 A (10a.) </w:t>
      </w:r>
    </w:p>
    <w:p w:rsidR="00611792" w:rsidRPr="00753D3A" w:rsidRDefault="00611792" w:rsidP="00611792">
      <w:pPr>
        <w:spacing w:after="0" w:line="240" w:lineRule="auto"/>
        <w:jc w:val="both"/>
        <w:rPr>
          <w:rFonts w:ascii="Arial" w:hAnsi="Arial" w:cs="Arial"/>
          <w:color w:val="auto"/>
        </w:rPr>
      </w:pPr>
    </w:p>
    <w:p w:rsidR="00611792" w:rsidRPr="00C630BB" w:rsidRDefault="00611792" w:rsidP="00C630BB">
      <w:pPr>
        <w:pStyle w:val="Ttulo2"/>
        <w:jc w:val="both"/>
        <w:rPr>
          <w:rFonts w:ascii="Arial" w:hAnsi="Arial" w:cs="Arial"/>
          <w:sz w:val="26"/>
          <w:szCs w:val="26"/>
        </w:rPr>
      </w:pPr>
      <w:bookmarkStart w:id="6" w:name="_Toc30597558"/>
      <w:r w:rsidRPr="00C630BB">
        <w:rPr>
          <w:rFonts w:ascii="Arial" w:hAnsi="Arial" w:cs="Arial"/>
          <w:color w:val="B35E06" w:themeColor="accent1" w:themeShade="BF"/>
          <w:sz w:val="26"/>
          <w:szCs w:val="26"/>
        </w:rPr>
        <w:t>PENSIÓN POR CAUSA DE MUERTE. EL ARTÍCULO 131, FRACCIÓN III, ÚLTIMA PARTE, DE LA LEY DEL INSTITUTO DE SEGURIDAD Y SERVICIOS SOCIALES DE LOS TRABAJADORES DEL ESTADO, AL CIRCUNSCRIBIR EL DERECHO A ESE BENEFICIO A LOS DEPENDIENTES ECONÓMICOS QUE SEAN ASCENDIENTES DISTINTOS DEL PADRE Y/O DE LA MADRE DEL TRABAJADOR O PENSIONADO FALLECIDO, NO VIOLA EL DERECHO FUNDAMENTAL A LA IGUALDAD JURÍDICA.</w:t>
      </w:r>
      <w:r w:rsidR="00C630BB">
        <w:rPr>
          <w:rStyle w:val="Refdenotaalpie"/>
          <w:rFonts w:ascii="Arial" w:hAnsi="Arial" w:cs="Arial"/>
          <w:color w:val="B35E06" w:themeColor="accent1" w:themeShade="BF"/>
          <w:sz w:val="26"/>
          <w:szCs w:val="26"/>
        </w:rPr>
        <w:footnoteReference w:id="5"/>
      </w:r>
      <w:bookmarkEnd w:id="6"/>
    </w:p>
    <w:p w:rsidR="00611792" w:rsidRPr="00753D3A" w:rsidRDefault="00611792" w:rsidP="00611792">
      <w:pPr>
        <w:spacing w:after="0" w:line="240" w:lineRule="auto"/>
        <w:jc w:val="both"/>
        <w:rPr>
          <w:rFonts w:ascii="Arial" w:hAnsi="Arial" w:cs="Arial"/>
          <w:color w:val="auto"/>
        </w:rPr>
      </w:pP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 xml:space="preserve">El derecho fundamental mencionado, previsto en el artículo 1o. de la Constitución Política de los Estados Unidos Mexicanos, implica que todos los gobernados deben recibir el mismo trato respecto de quienes se ubican en similar situación de hecho, así como un mandato de tratamiento desigual, que obliga al legislador a establecer diferencias entre supuestos de hecho distintos. Ahora, conforme al artículo 131 de la Ley del Instituto de Seguridad y Servicios Sociales de los Trabajadores del Estado, tienen derecho a obtener una pensión por causa de muerte (de la persona que haya originado la pensión) los familiares derechohabientes siguientes: el cónyuge supérstite, la concubina o concubinario, los hijos, la madre o el padre o, en términos de su fracción III, última parte, los demás ascendientes cuando hayan dependido económicamente del trabajador o pensionado, en el orden y bajo las circunstancias ahí descritas. Así, dicha </w:t>
      </w:r>
      <w:r w:rsidRPr="00753D3A">
        <w:rPr>
          <w:rFonts w:ascii="Arial" w:hAnsi="Arial" w:cs="Arial"/>
          <w:color w:val="auto"/>
        </w:rPr>
        <w:lastRenderedPageBreak/>
        <w:t>disposición legal circunscribe el derecho de acceder a la pensión por causa de muerte del trabajador o pensionado, a los familiares derechohabientes expresamente previstos, particularmente, para el caso de quienes hubiesen dependido económicamente de éste, en favor de los ascendientes diversos del padre y/o de la madre, descartando la posibilidad de que ese beneficio de seguridad social sea otorgado a personas diversas respecto de las cuales también exista un vínculo estrecho de parentesco y que dependiesen económicamente de aquél. En estas condiciones, el precepto 131 citado no viola el derecho fundamental señalado, porque otorga un trato distinto a personas que se encuentran en situaciones jurídicas diversas, esto es, la ley presume que los ascendientes distintos del padre y/o de la madre que dependan económicamente del trabajador o pensionado fallecido (abuelos, bisabuelos, tatarabuelos) no se encuentran en una misma situación jurídica que otras personas que también dependían económicamente de éste, dado que aquéllos, por lo general, pertenecen a un segmento de la población considerado como "adultos mayores", quienes por razón de su edad constituyen un grupo vulnerable susceptible de protección especial por el legislador, ya que su avanzada edad los coloca con frecuencia en una situación de dependencia familiar, discriminación e, incluso, abandono.</w:t>
      </w:r>
    </w:p>
    <w:p w:rsidR="00611792" w:rsidRPr="00753D3A" w:rsidRDefault="00611792" w:rsidP="00611792">
      <w:pPr>
        <w:spacing w:after="0" w:line="240" w:lineRule="auto"/>
        <w:jc w:val="both"/>
        <w:rPr>
          <w:rFonts w:ascii="Arial" w:hAnsi="Arial" w:cs="Arial"/>
          <w:color w:val="auto"/>
        </w:rPr>
      </w:pP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SÉPTIMO TRIBUNAL COLEGIADO EN MATERIA ADMINISTRATIVA DEL PRIMER CIRCUITO.</w:t>
      </w:r>
    </w:p>
    <w:p w:rsidR="00611792" w:rsidRPr="00753D3A" w:rsidRDefault="00611792" w:rsidP="00611792">
      <w:pPr>
        <w:spacing w:after="0" w:line="240" w:lineRule="auto"/>
        <w:jc w:val="both"/>
        <w:rPr>
          <w:rFonts w:ascii="Arial" w:hAnsi="Arial" w:cs="Arial"/>
          <w:color w:val="auto"/>
        </w:rPr>
      </w:pP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Amparo directo 615/2018. Celia Pineda Ramírez. 23 de octubre de 2019. Unanimidad de votos. Ponente: Sandra de Jesús Zúñiga, secretaria de tribunal autorizada por la Comisión de Carrera Judicial del Consejo de la Judicatura Federal para desempeñar las funciones de Magistrada. Secretario: Alejandro Lucero de la Rosa.</w:t>
      </w:r>
    </w:p>
    <w:p w:rsidR="00611792" w:rsidRPr="00753D3A" w:rsidRDefault="00611792" w:rsidP="00611792">
      <w:pPr>
        <w:spacing w:after="0" w:line="240" w:lineRule="auto"/>
        <w:jc w:val="both"/>
        <w:rPr>
          <w:rFonts w:ascii="Arial" w:hAnsi="Arial" w:cs="Arial"/>
          <w:color w:val="auto"/>
        </w:rPr>
      </w:pPr>
    </w:p>
    <w:p w:rsidR="00611792" w:rsidRPr="00753D3A" w:rsidRDefault="00611792" w:rsidP="00611792">
      <w:pPr>
        <w:spacing w:after="0" w:line="240" w:lineRule="auto"/>
        <w:jc w:val="both"/>
        <w:rPr>
          <w:rFonts w:ascii="Arial" w:hAnsi="Arial" w:cs="Arial"/>
          <w:color w:val="auto"/>
        </w:rPr>
      </w:pPr>
      <w:r w:rsidRPr="00753D3A">
        <w:rPr>
          <w:rFonts w:ascii="Arial" w:hAnsi="Arial" w:cs="Arial"/>
          <w:color w:val="auto"/>
        </w:rPr>
        <w:t>Nota: Esta tesis refleja un criterio firme sustentado por un Tribunal Colegiado de Circuito al resolver un juicio de amparo directo, por lo que atendiendo a la tesis P. LX/98, publicada en el Semanario Judicial de la Federación y su Gaceta, Novena Época, Tomo VIII, septiembre de 1998, página 56, con número de registro digital: 195528, de rubro: "TRIBUNALES COLEGIADOS DE CIRCUITO. AUNQUE LAS CONSIDERACIONES SOBRE CONSTITUCIONALIDAD DE LEYES QUE EFECTÚAN EN LOS JUICIOS DE AMPARO DIRECTO, NO SON APTAS PARA INTEGRAR JURISPRUDENCIA, RESULTA ÚTIL LA PUBLICACIÓN DE LOS CRITERIOS.", no es obligatorio ni apto para integrar jurisprudencia.</w:t>
      </w:r>
    </w:p>
    <w:p w:rsidR="00611792" w:rsidRPr="00753D3A" w:rsidRDefault="00611792" w:rsidP="00611792">
      <w:pPr>
        <w:spacing w:after="0" w:line="240" w:lineRule="auto"/>
        <w:jc w:val="both"/>
        <w:rPr>
          <w:rFonts w:ascii="Arial" w:hAnsi="Arial" w:cs="Arial"/>
          <w:color w:val="auto"/>
        </w:rPr>
      </w:pPr>
    </w:p>
    <w:p w:rsidR="00E167D5" w:rsidRPr="00753D3A" w:rsidRDefault="00C630BB" w:rsidP="00E167D5">
      <w:pPr>
        <w:spacing w:after="0" w:line="240" w:lineRule="auto"/>
        <w:jc w:val="both"/>
        <w:rPr>
          <w:rFonts w:ascii="Arial" w:hAnsi="Arial" w:cs="Arial"/>
          <w:color w:val="auto"/>
        </w:rPr>
      </w:pPr>
      <w:bookmarkStart w:id="7" w:name="_GoBack"/>
      <w:bookmarkEnd w:id="7"/>
      <w:r>
        <w:rPr>
          <w:rFonts w:ascii="Arial" w:hAnsi="Arial" w:cs="Arial"/>
          <w:color w:val="auto"/>
        </w:rPr>
        <w:lastRenderedPageBreak/>
        <w:t xml:space="preserve">7. </w:t>
      </w:r>
      <w:r w:rsidR="00E167D5" w:rsidRPr="00753D3A">
        <w:rPr>
          <w:rFonts w:ascii="Arial" w:hAnsi="Arial" w:cs="Arial"/>
          <w:color w:val="auto"/>
        </w:rPr>
        <w:t xml:space="preserve">Época: Décima Época </w:t>
      </w: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 xml:space="preserve">Registro: 2021421 </w:t>
      </w: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 xml:space="preserve">Instancia: Tribunales Colegiados de Circuito </w:t>
      </w: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 xml:space="preserve">Tipo de Tesis: Aislada </w:t>
      </w: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 xml:space="preserve">Fuente: Semanario Judicial de la Federación </w:t>
      </w: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 xml:space="preserve">Publicación: viernes 17 de enero de 2020 10:18 h </w:t>
      </w: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 xml:space="preserve">Materia(s): (Común) </w:t>
      </w: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 xml:space="preserve">Tesis: XVII.2o.C.T.14 C (10a.) </w:t>
      </w:r>
    </w:p>
    <w:p w:rsidR="00E167D5" w:rsidRPr="00753D3A" w:rsidRDefault="00E167D5" w:rsidP="00E167D5">
      <w:pPr>
        <w:spacing w:after="0" w:line="240" w:lineRule="auto"/>
        <w:jc w:val="both"/>
        <w:rPr>
          <w:rFonts w:ascii="Arial" w:hAnsi="Arial" w:cs="Arial"/>
          <w:color w:val="auto"/>
        </w:rPr>
      </w:pPr>
    </w:p>
    <w:p w:rsidR="00E167D5" w:rsidRPr="00C630BB" w:rsidRDefault="00E167D5" w:rsidP="00C630BB">
      <w:pPr>
        <w:pStyle w:val="Ttulo2"/>
        <w:jc w:val="both"/>
        <w:rPr>
          <w:rFonts w:ascii="Arial" w:hAnsi="Arial" w:cs="Arial"/>
          <w:color w:val="B35E06" w:themeColor="accent1" w:themeShade="BF"/>
          <w:sz w:val="26"/>
          <w:szCs w:val="26"/>
        </w:rPr>
      </w:pPr>
      <w:bookmarkStart w:id="8" w:name="_Toc30597559"/>
      <w:r w:rsidRPr="00C630BB">
        <w:rPr>
          <w:rFonts w:ascii="Arial" w:hAnsi="Arial" w:cs="Arial"/>
          <w:color w:val="B35E06" w:themeColor="accent1" w:themeShade="BF"/>
          <w:sz w:val="26"/>
          <w:szCs w:val="26"/>
        </w:rPr>
        <w:t>JUICIO DE INTERDICCIÓN. SI SE RECLAMA UNA DILACIÓN INEXCUSABLE EN ÉSTE, AUN CUANDO SE TRATA DE ACTOS NEGATIVOS, RESULTA FACTIBLE DECRETAR LA SUSPENSIÓN PROVISIONAL CON EFECTOS PROVISIONALMENTE RESTITUTORIOS.</w:t>
      </w:r>
      <w:bookmarkEnd w:id="8"/>
    </w:p>
    <w:p w:rsidR="00E167D5" w:rsidRPr="00753D3A" w:rsidRDefault="00E167D5" w:rsidP="00E167D5">
      <w:pPr>
        <w:spacing w:after="0" w:line="240" w:lineRule="auto"/>
        <w:jc w:val="both"/>
        <w:rPr>
          <w:rFonts w:ascii="Arial" w:hAnsi="Arial" w:cs="Arial"/>
          <w:color w:val="auto"/>
        </w:rPr>
      </w:pP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 xml:space="preserve">El artículo 147 de la Ley de Amparo obliga al juzgador a analizar cada caso concreto, sin importar si el acto reclamado tiene carácter positivo, negativo u </w:t>
      </w:r>
      <w:proofErr w:type="spellStart"/>
      <w:r w:rsidRPr="00753D3A">
        <w:rPr>
          <w:rFonts w:ascii="Arial" w:hAnsi="Arial" w:cs="Arial"/>
          <w:color w:val="auto"/>
        </w:rPr>
        <w:t>omisivo</w:t>
      </w:r>
      <w:proofErr w:type="spellEnd"/>
      <w:r w:rsidRPr="00753D3A">
        <w:rPr>
          <w:rFonts w:ascii="Arial" w:hAnsi="Arial" w:cs="Arial"/>
          <w:color w:val="auto"/>
        </w:rPr>
        <w:t xml:space="preserve">, por lo que debe ponderarse la naturaleza de la violación alegada con la apariencia del buen derecho y la afectación o perjuicio que ocasiona el acto, para establecer los derechos humanos en disputa y la necesidad de garantizar su eficacia inmediata. En ese sentido, si se hace valer la violación al derecho humano de acceso a la justicia, derivado de la existencia de una dilación inexcusable en un juicio de interdicción con motivo de diversas suspensiones al propio derecho y la quejosa aduce encontrarse en un estado de vulnerabilidad (por cuestión de edad avanzada), ese aspecto debe tenerse en consideración, para actuar con diligencia excepcional, dada la interrelación entre la brevedad del proceso y el goce efectivo de derechos. Por lo que aun cuando se trate de actos negativos, es posible conceder la suspensión provisional con efectos provisionalmente restitutorios, conforme a la apariencia del buen derecho y el peligro en la demora, pues una paralización del procedimiento implica violación al artículo 17 de la Constitución Política de los Estados Unidos Mexicanos, si la autoridad responsable deja de cumplir injustificadamente con su obligación de administrar justicia dentro de los plazos y términos de ley. Máxime si se deja de dilucidar sobre la capacidad jurídica de ejercicio de una persona, lo que se vincula con los citados derechos de acceso a la justicia, de igualdad y no discriminación, debido proceso, así como al derecho de audiencia, a una vida independiente, a la privacidad, a la libertad de expresión, participación e inclusión en la sociedad, entre otros; los cuales, por mandato constitucional y jurisprudencial del parámetro de regularidad </w:t>
      </w:r>
      <w:r w:rsidRPr="00753D3A">
        <w:rPr>
          <w:rFonts w:ascii="Arial" w:hAnsi="Arial" w:cs="Arial"/>
          <w:color w:val="auto"/>
        </w:rPr>
        <w:lastRenderedPageBreak/>
        <w:t>constitucional deben ser protegidos, respetados y garantizados por la autoridad responsable.</w:t>
      </w:r>
    </w:p>
    <w:p w:rsidR="00E167D5" w:rsidRPr="00753D3A" w:rsidRDefault="00E167D5" w:rsidP="00E167D5">
      <w:pPr>
        <w:spacing w:after="0" w:line="240" w:lineRule="auto"/>
        <w:jc w:val="both"/>
        <w:rPr>
          <w:rFonts w:ascii="Arial" w:hAnsi="Arial" w:cs="Arial"/>
          <w:color w:val="auto"/>
        </w:rPr>
      </w:pP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SEGUNDO TRIBUNAL COLEGIADO EN MATERIAS CIVIL Y DE TRABAJO DEL DÉCIMO SÉPTIMO CIRCUITO.</w:t>
      </w:r>
    </w:p>
    <w:p w:rsidR="00E167D5" w:rsidRPr="00753D3A" w:rsidRDefault="00E167D5" w:rsidP="00E167D5">
      <w:pPr>
        <w:spacing w:after="0" w:line="240" w:lineRule="auto"/>
        <w:jc w:val="both"/>
        <w:rPr>
          <w:rFonts w:ascii="Arial" w:hAnsi="Arial" w:cs="Arial"/>
          <w:color w:val="auto"/>
        </w:rPr>
      </w:pPr>
    </w:p>
    <w:p w:rsidR="00E167D5" w:rsidRPr="00753D3A" w:rsidRDefault="00E167D5" w:rsidP="00E167D5">
      <w:pPr>
        <w:spacing w:after="0" w:line="240" w:lineRule="auto"/>
        <w:jc w:val="both"/>
        <w:rPr>
          <w:rFonts w:ascii="Arial" w:hAnsi="Arial" w:cs="Arial"/>
          <w:color w:val="auto"/>
        </w:rPr>
      </w:pPr>
      <w:r w:rsidRPr="00753D3A">
        <w:rPr>
          <w:rFonts w:ascii="Arial" w:hAnsi="Arial" w:cs="Arial"/>
          <w:color w:val="auto"/>
        </w:rPr>
        <w:t xml:space="preserve">Queja 35/2019. Graciela Leticia Delgado </w:t>
      </w:r>
      <w:proofErr w:type="spellStart"/>
      <w:r w:rsidRPr="00753D3A">
        <w:rPr>
          <w:rFonts w:ascii="Arial" w:hAnsi="Arial" w:cs="Arial"/>
          <w:color w:val="auto"/>
        </w:rPr>
        <w:t>Casale</w:t>
      </w:r>
      <w:proofErr w:type="spellEnd"/>
      <w:r w:rsidRPr="00753D3A">
        <w:rPr>
          <w:rFonts w:ascii="Arial" w:hAnsi="Arial" w:cs="Arial"/>
          <w:color w:val="auto"/>
        </w:rPr>
        <w:t xml:space="preserve">. 19 de marzo de 2019. Unanimidad de votos. Ponente: Cuauhtémoc Cuéllar De Luna. Secretaria: </w:t>
      </w:r>
      <w:proofErr w:type="spellStart"/>
      <w:r w:rsidRPr="00753D3A">
        <w:rPr>
          <w:rFonts w:ascii="Arial" w:hAnsi="Arial" w:cs="Arial"/>
          <w:color w:val="auto"/>
        </w:rPr>
        <w:t>Marissa</w:t>
      </w:r>
      <w:proofErr w:type="spellEnd"/>
      <w:r w:rsidRPr="00753D3A">
        <w:rPr>
          <w:rFonts w:ascii="Arial" w:hAnsi="Arial" w:cs="Arial"/>
          <w:color w:val="auto"/>
        </w:rPr>
        <w:t xml:space="preserve"> Alejandra Chávez Sánchez.</w:t>
      </w:r>
    </w:p>
    <w:p w:rsidR="00E167D5" w:rsidRPr="00753D3A" w:rsidRDefault="00E167D5" w:rsidP="00E167D5">
      <w:pPr>
        <w:spacing w:after="0" w:line="240" w:lineRule="auto"/>
        <w:jc w:val="both"/>
        <w:rPr>
          <w:rFonts w:ascii="Arial" w:hAnsi="Arial" w:cs="Arial"/>
          <w:color w:val="auto"/>
        </w:rPr>
      </w:pPr>
    </w:p>
    <w:p w:rsidR="00C630BB" w:rsidRDefault="00C630BB" w:rsidP="00753D3A">
      <w:pPr>
        <w:spacing w:after="0" w:line="240" w:lineRule="auto"/>
        <w:jc w:val="both"/>
        <w:rPr>
          <w:rFonts w:ascii="Arial" w:hAnsi="Arial" w:cs="Arial"/>
          <w:color w:val="auto"/>
        </w:rPr>
      </w:pPr>
    </w:p>
    <w:p w:rsidR="00753D3A" w:rsidRPr="00753D3A" w:rsidRDefault="00C630BB" w:rsidP="00753D3A">
      <w:pPr>
        <w:spacing w:after="0" w:line="240" w:lineRule="auto"/>
        <w:jc w:val="both"/>
        <w:rPr>
          <w:rFonts w:ascii="Arial" w:hAnsi="Arial" w:cs="Arial"/>
          <w:color w:val="auto"/>
        </w:rPr>
      </w:pPr>
      <w:r>
        <w:rPr>
          <w:rFonts w:ascii="Arial" w:hAnsi="Arial" w:cs="Arial"/>
          <w:color w:val="auto"/>
        </w:rPr>
        <w:t xml:space="preserve">8. </w:t>
      </w:r>
      <w:r w:rsidR="00753D3A" w:rsidRPr="00753D3A">
        <w:rPr>
          <w:rFonts w:ascii="Arial" w:hAnsi="Arial" w:cs="Arial"/>
          <w:color w:val="auto"/>
        </w:rPr>
        <w:t xml:space="preserve">Época: Décima Época </w:t>
      </w: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 xml:space="preserve">Registro: 2021420 </w:t>
      </w: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 xml:space="preserve">Instancia: Tribunales Colegiados de Circuito </w:t>
      </w: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 xml:space="preserve">Tipo de Tesis: Aislada </w:t>
      </w: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 xml:space="preserve">Fuente: Semanario Judicial de la Federación </w:t>
      </w: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 xml:space="preserve">Publicación: viernes 17 de enero de 2020 10:18 h </w:t>
      </w: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 xml:space="preserve">Materia(s): (Constitucional, Civil) </w:t>
      </w: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 xml:space="preserve">Tesis: XVII.2o.C.T.15 C (10a.) </w:t>
      </w:r>
    </w:p>
    <w:p w:rsidR="00753D3A" w:rsidRPr="00753D3A" w:rsidRDefault="00753D3A" w:rsidP="00753D3A">
      <w:pPr>
        <w:spacing w:after="0" w:line="240" w:lineRule="auto"/>
        <w:jc w:val="both"/>
        <w:rPr>
          <w:rFonts w:ascii="Arial" w:hAnsi="Arial" w:cs="Arial"/>
          <w:color w:val="auto"/>
        </w:rPr>
      </w:pPr>
    </w:p>
    <w:p w:rsidR="00753D3A" w:rsidRPr="00C630BB" w:rsidRDefault="00753D3A" w:rsidP="00C630BB">
      <w:pPr>
        <w:pStyle w:val="Ttulo2"/>
        <w:jc w:val="both"/>
        <w:rPr>
          <w:rFonts w:ascii="Arial" w:hAnsi="Arial" w:cs="Arial"/>
          <w:color w:val="B35E06" w:themeColor="accent1" w:themeShade="BF"/>
          <w:sz w:val="26"/>
          <w:szCs w:val="26"/>
        </w:rPr>
      </w:pPr>
      <w:bookmarkStart w:id="9" w:name="_Toc30597560"/>
      <w:r w:rsidRPr="00C630BB">
        <w:rPr>
          <w:rFonts w:ascii="Arial" w:hAnsi="Arial" w:cs="Arial"/>
          <w:color w:val="B35E06" w:themeColor="accent1" w:themeShade="BF"/>
          <w:sz w:val="26"/>
          <w:szCs w:val="26"/>
        </w:rPr>
        <w:t xml:space="preserve">JUICIO DE CONVIVENCIAS. SI SE DESAHOGA LA PRUEBA PERICIAL EN PSICOLOGÍA RESPECTO DE UN MENOR Y SE ORDENA LLEVAR A CABO UN PROCESO TERAPÉUTICO CON SUS FAMILIARES, DEBE REALIZARSE UN JUICIO DE PONDERACIÓN ENTRE LAS PARTICULARIDADES DEL CASO CONCRETO Y LOS DERECHOS EN JUEGO PARA VERIFICAR LA VIABILIDAD O NO DE LA PRÁCTICA DE UNA NUEVA VALORACIÓN, SIN QUE ELLO IMPLIQUE LA </w:t>
      </w:r>
      <w:proofErr w:type="spellStart"/>
      <w:r w:rsidRPr="00C630BB">
        <w:rPr>
          <w:rFonts w:ascii="Arial" w:hAnsi="Arial" w:cs="Arial"/>
          <w:color w:val="B35E06" w:themeColor="accent1" w:themeShade="BF"/>
          <w:sz w:val="26"/>
          <w:szCs w:val="26"/>
        </w:rPr>
        <w:t>REVICTIMIZACIÓN</w:t>
      </w:r>
      <w:proofErr w:type="spellEnd"/>
      <w:r w:rsidRPr="00C630BB">
        <w:rPr>
          <w:rFonts w:ascii="Arial" w:hAnsi="Arial" w:cs="Arial"/>
          <w:color w:val="B35E06" w:themeColor="accent1" w:themeShade="BF"/>
          <w:sz w:val="26"/>
          <w:szCs w:val="26"/>
        </w:rPr>
        <w:t xml:space="preserve"> EN EL MENOR.</w:t>
      </w:r>
      <w:r w:rsidR="00C630BB">
        <w:rPr>
          <w:rStyle w:val="Refdenotaalpie"/>
          <w:rFonts w:ascii="Arial" w:hAnsi="Arial" w:cs="Arial"/>
          <w:color w:val="B35E06" w:themeColor="accent1" w:themeShade="BF"/>
          <w:sz w:val="26"/>
          <w:szCs w:val="26"/>
        </w:rPr>
        <w:footnoteReference w:id="6"/>
      </w:r>
      <w:bookmarkEnd w:id="9"/>
    </w:p>
    <w:p w:rsidR="00753D3A" w:rsidRPr="00753D3A" w:rsidRDefault="00753D3A" w:rsidP="00753D3A">
      <w:pPr>
        <w:spacing w:after="0" w:line="240" w:lineRule="auto"/>
        <w:jc w:val="both"/>
        <w:rPr>
          <w:rFonts w:ascii="Arial" w:hAnsi="Arial" w:cs="Arial"/>
          <w:color w:val="auto"/>
        </w:rPr>
      </w:pP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 xml:space="preserve">Si en un juicio de convivencias se desahoga la prueba pericial en psicología sobre un menor, y se ordena llevar a cabo un proceso terapéutico de éste y sus familiares, para recomponer los lazos afectivos, debe realizarse un juicio de ponderación entre las particularidades del caso concreto y los derechos en juego (convivencia efectiva del menor con su familia, en relación con el derecho a la no </w:t>
      </w:r>
      <w:proofErr w:type="spellStart"/>
      <w:r w:rsidRPr="00753D3A">
        <w:rPr>
          <w:rFonts w:ascii="Arial" w:hAnsi="Arial" w:cs="Arial"/>
          <w:color w:val="auto"/>
        </w:rPr>
        <w:t>revictimización</w:t>
      </w:r>
      <w:proofErr w:type="spellEnd"/>
      <w:r w:rsidRPr="00753D3A">
        <w:rPr>
          <w:rFonts w:ascii="Arial" w:hAnsi="Arial" w:cs="Arial"/>
          <w:color w:val="auto"/>
        </w:rPr>
        <w:t xml:space="preserve"> del niño), para verificar la viabilidad o no de la práctica de una </w:t>
      </w:r>
      <w:r w:rsidRPr="00753D3A">
        <w:rPr>
          <w:rFonts w:ascii="Arial" w:hAnsi="Arial" w:cs="Arial"/>
          <w:color w:val="auto"/>
        </w:rPr>
        <w:lastRenderedPageBreak/>
        <w:t xml:space="preserve">nueva valoración psicológica al infante, dada la importancia que guarda el contexto, ante la posibilidad de un cambio en las condiciones inicialmente presentadas y una evolución favorable en su estado emocional; y de concluir que resulte imperiosa su verificación, el desahogo de una nueva prueba pericial no implicaría por sí una </w:t>
      </w:r>
      <w:proofErr w:type="spellStart"/>
      <w:r w:rsidRPr="00753D3A">
        <w:rPr>
          <w:rFonts w:ascii="Arial" w:hAnsi="Arial" w:cs="Arial"/>
          <w:color w:val="auto"/>
        </w:rPr>
        <w:t>revictimización</w:t>
      </w:r>
      <w:proofErr w:type="spellEnd"/>
      <w:r w:rsidRPr="00753D3A">
        <w:rPr>
          <w:rFonts w:ascii="Arial" w:hAnsi="Arial" w:cs="Arial"/>
          <w:color w:val="auto"/>
        </w:rPr>
        <w:t xml:space="preserve"> en el menor, pues mediante un diagnóstico actualizado puede continuarse con el establecimiento de medidas </w:t>
      </w:r>
      <w:proofErr w:type="spellStart"/>
      <w:r w:rsidRPr="00753D3A">
        <w:rPr>
          <w:rFonts w:ascii="Arial" w:hAnsi="Arial" w:cs="Arial"/>
          <w:color w:val="auto"/>
        </w:rPr>
        <w:t>saneadoras</w:t>
      </w:r>
      <w:proofErr w:type="spellEnd"/>
      <w:r w:rsidRPr="00753D3A">
        <w:rPr>
          <w:rFonts w:ascii="Arial" w:hAnsi="Arial" w:cs="Arial"/>
          <w:color w:val="auto"/>
        </w:rPr>
        <w:t xml:space="preserve"> concretas y eficaces de los vínculos afectivos fragmentados con esa rama familiar. En el entendido de que la autoridad responsable debe hacer uso de todas las herramientas con las que cuenta para la solución pronta y efectiva del conflicto presentado, a fin de brindar respuesta no sólo jurídica, sino holística, sistemática y permanente, a través de cuyo actuar se dote finalmente de efectividad al derecho de convivencias entre el menor y esa otra parte de su familia.</w:t>
      </w:r>
    </w:p>
    <w:p w:rsidR="00753D3A" w:rsidRPr="00753D3A" w:rsidRDefault="00753D3A" w:rsidP="00753D3A">
      <w:pPr>
        <w:spacing w:after="0" w:line="240" w:lineRule="auto"/>
        <w:jc w:val="both"/>
        <w:rPr>
          <w:rFonts w:ascii="Arial" w:hAnsi="Arial" w:cs="Arial"/>
          <w:color w:val="auto"/>
        </w:rPr>
      </w:pP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SEGUNDO TRIBUNAL COLEGIADO EN MATERIAS CIVIL Y DE TRABAJO DEL DÉCIMO SÉPTIMO CIRCUITO.</w:t>
      </w:r>
    </w:p>
    <w:p w:rsidR="00753D3A" w:rsidRPr="00753D3A" w:rsidRDefault="00753D3A" w:rsidP="00753D3A">
      <w:pPr>
        <w:spacing w:after="0" w:line="240" w:lineRule="auto"/>
        <w:jc w:val="both"/>
        <w:rPr>
          <w:rFonts w:ascii="Arial" w:hAnsi="Arial" w:cs="Arial"/>
          <w:color w:val="auto"/>
        </w:rPr>
      </w:pPr>
    </w:p>
    <w:p w:rsidR="00753D3A" w:rsidRPr="00753D3A" w:rsidRDefault="00753D3A" w:rsidP="00753D3A">
      <w:pPr>
        <w:spacing w:after="0" w:line="240" w:lineRule="auto"/>
        <w:jc w:val="both"/>
        <w:rPr>
          <w:rFonts w:ascii="Arial" w:hAnsi="Arial" w:cs="Arial"/>
          <w:color w:val="auto"/>
        </w:rPr>
      </w:pPr>
      <w:r w:rsidRPr="00753D3A">
        <w:rPr>
          <w:rFonts w:ascii="Arial" w:hAnsi="Arial" w:cs="Arial"/>
          <w:color w:val="auto"/>
        </w:rPr>
        <w:t xml:space="preserve">Amparo en revisión 10/2019. 4 de julio de 2019. Unanimidad de votos. Ponente: Cuauhtémoc Cuéllar De Luna. Secretaria: </w:t>
      </w:r>
      <w:proofErr w:type="spellStart"/>
      <w:r w:rsidRPr="00753D3A">
        <w:rPr>
          <w:rFonts w:ascii="Arial" w:hAnsi="Arial" w:cs="Arial"/>
          <w:color w:val="auto"/>
        </w:rPr>
        <w:t>Marissa</w:t>
      </w:r>
      <w:proofErr w:type="spellEnd"/>
      <w:r w:rsidRPr="00753D3A">
        <w:rPr>
          <w:rFonts w:ascii="Arial" w:hAnsi="Arial" w:cs="Arial"/>
          <w:color w:val="auto"/>
        </w:rPr>
        <w:t xml:space="preserve"> Alejandra Chávez Sánchez.</w:t>
      </w:r>
    </w:p>
    <w:p w:rsidR="00753D3A" w:rsidRPr="00753D3A" w:rsidRDefault="00753D3A" w:rsidP="00753D3A">
      <w:pPr>
        <w:spacing w:after="0" w:line="240" w:lineRule="auto"/>
        <w:jc w:val="both"/>
        <w:rPr>
          <w:rFonts w:ascii="Arial" w:hAnsi="Arial" w:cs="Arial"/>
          <w:color w:val="auto"/>
        </w:rPr>
      </w:pPr>
    </w:p>
    <w:p w:rsidR="0081032C" w:rsidRDefault="0081032C" w:rsidP="00A54A0F">
      <w:pPr>
        <w:spacing w:after="0" w:line="240" w:lineRule="auto"/>
        <w:jc w:val="both"/>
        <w:rPr>
          <w:rFonts w:ascii="Arial" w:hAnsi="Arial" w:cs="Arial"/>
          <w:color w:val="auto"/>
        </w:rPr>
      </w:pPr>
    </w:p>
    <w:p w:rsidR="0081032C" w:rsidRPr="0081032C" w:rsidRDefault="00C630BB" w:rsidP="0081032C">
      <w:pPr>
        <w:spacing w:after="0" w:line="240" w:lineRule="auto"/>
        <w:jc w:val="both"/>
        <w:rPr>
          <w:rFonts w:ascii="Arial" w:hAnsi="Arial" w:cs="Arial"/>
          <w:color w:val="auto"/>
        </w:rPr>
      </w:pPr>
      <w:r>
        <w:rPr>
          <w:rFonts w:ascii="Arial" w:hAnsi="Arial" w:cs="Arial"/>
          <w:color w:val="auto"/>
        </w:rPr>
        <w:t xml:space="preserve">9. </w:t>
      </w:r>
      <w:r w:rsidR="0081032C" w:rsidRPr="0081032C">
        <w:rPr>
          <w:rFonts w:ascii="Arial" w:hAnsi="Arial" w:cs="Arial"/>
          <w:color w:val="auto"/>
        </w:rPr>
        <w:t xml:space="preserve">Época: Décima Época </w:t>
      </w: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 xml:space="preserve">Registro: 2021417 </w:t>
      </w: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 xml:space="preserve">Instancia: Tribunales Colegiados de Circuito </w:t>
      </w: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 xml:space="preserve">Tipo de Tesis: Aislada </w:t>
      </w: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 xml:space="preserve">Fuente: Semanario Judicial de la Federación </w:t>
      </w: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 xml:space="preserve">Publicación: viernes 17 de enero de 2020 10:18 h </w:t>
      </w: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 xml:space="preserve">Materia(s): (Común) </w:t>
      </w: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 xml:space="preserve">Tesis: I.8o.C.25 K (10a.) </w:t>
      </w:r>
    </w:p>
    <w:p w:rsidR="0081032C" w:rsidRPr="0081032C" w:rsidRDefault="0081032C" w:rsidP="0081032C">
      <w:pPr>
        <w:spacing w:after="0" w:line="240" w:lineRule="auto"/>
        <w:jc w:val="both"/>
        <w:rPr>
          <w:rFonts w:ascii="Arial" w:hAnsi="Arial" w:cs="Arial"/>
          <w:color w:val="auto"/>
        </w:rPr>
      </w:pPr>
    </w:p>
    <w:p w:rsidR="0081032C" w:rsidRPr="00C630BB" w:rsidRDefault="0081032C" w:rsidP="00C630BB">
      <w:pPr>
        <w:pStyle w:val="Ttulo2"/>
        <w:jc w:val="both"/>
        <w:rPr>
          <w:rFonts w:ascii="Arial" w:hAnsi="Arial" w:cs="Arial"/>
          <w:sz w:val="26"/>
          <w:szCs w:val="26"/>
        </w:rPr>
      </w:pPr>
      <w:bookmarkStart w:id="10" w:name="_Toc30597561"/>
      <w:r w:rsidRPr="00C630BB">
        <w:rPr>
          <w:rFonts w:ascii="Arial" w:hAnsi="Arial" w:cs="Arial"/>
          <w:color w:val="B35E06" w:themeColor="accent1" w:themeShade="BF"/>
          <w:sz w:val="26"/>
          <w:szCs w:val="26"/>
        </w:rPr>
        <w:t>INCIDENTE PARA HACER EFECTIVA LA GARANTÍA OTORGADA PARA LA SUSPENSIÓN DEL ACTO RECLAMADO. SUPUESTO EN QUE EXISTE COSA JUZGADA.</w:t>
      </w:r>
      <w:bookmarkEnd w:id="10"/>
    </w:p>
    <w:p w:rsidR="0081032C" w:rsidRPr="0081032C" w:rsidRDefault="0081032C" w:rsidP="0081032C">
      <w:pPr>
        <w:spacing w:after="0" w:line="240" w:lineRule="auto"/>
        <w:jc w:val="both"/>
        <w:rPr>
          <w:rFonts w:ascii="Arial" w:hAnsi="Arial" w:cs="Arial"/>
          <w:color w:val="auto"/>
        </w:rPr>
      </w:pP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 xml:space="preserve">Si la tercero interesada plantea por segunda ocasión el mismo incidente para hacer efectiva la garantía otorgada para la suspensión de los actos reclamados, pretendiendo subsanar las omisiones que motivaron la declaración de improcedencia del primer incidente, aun cuando el plazo para tramitarlo no ha fenecido, resulta inconcuso que ya ejerció ese derecho y, por tanto, opera la figura </w:t>
      </w:r>
      <w:r w:rsidRPr="0081032C">
        <w:rPr>
          <w:rFonts w:ascii="Arial" w:hAnsi="Arial" w:cs="Arial"/>
          <w:color w:val="auto"/>
        </w:rPr>
        <w:lastRenderedPageBreak/>
        <w:t>de la cosa juzgada. De ahí que resulte inaplicable la tesis XVII.1o.C.T.45 K (10a.), de título y subtítulo: "INCIDENTE DE DAÑOS Y PERJUICIOS, DERIVADO DE LA SUSPENSIÓN DEL ACTO RECLAMADO. EL PLAZO DE SEIS MESES PARA PROMOVERLO NO SE INTERRUMPE CON LA PRESENTACIÓN DE UN PRIMER INCIDENTE DECLARADO INFUNDADO, Y TAMPOCO GENERA LA POSIBILIDAD DE PROMOVER UNA SEGUNDA INCIDENCIA DENTRO DE UN NUEVO PLAZO.", toda vez que la procedencia de un nuevo incidente de daños y perjuicios con motivo de la suspensión, está supeditada a la circunstancia de que no exista un pronunciamiento de fondo de la cuestión debatida, lo que no acontece en el caso concreto en que existe resolución firme que declaró improcedente el incidente para hacer efectiva la garantía otorgada para que surta efectos la suspensión, sobre la consideración de que la tercero interesada no allegó las constancias que demostraran la afirmación de que obtuvo resolución interlocutoria favorable en un diverso incidente para lograr el cumplimiento sustituto de condena.</w:t>
      </w:r>
    </w:p>
    <w:p w:rsidR="0081032C" w:rsidRPr="0081032C" w:rsidRDefault="0081032C" w:rsidP="0081032C">
      <w:pPr>
        <w:spacing w:after="0" w:line="240" w:lineRule="auto"/>
        <w:jc w:val="both"/>
        <w:rPr>
          <w:rFonts w:ascii="Arial" w:hAnsi="Arial" w:cs="Arial"/>
          <w:color w:val="auto"/>
        </w:rPr>
      </w:pP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OCTAVO TRIBUNAL COLEGIADO EN MATERIA CIVIL DEL PRIMER CIRCUITO.</w:t>
      </w:r>
    </w:p>
    <w:p w:rsidR="0081032C" w:rsidRPr="0081032C" w:rsidRDefault="0081032C" w:rsidP="0081032C">
      <w:pPr>
        <w:spacing w:after="0" w:line="240" w:lineRule="auto"/>
        <w:jc w:val="both"/>
        <w:rPr>
          <w:rFonts w:ascii="Arial" w:hAnsi="Arial" w:cs="Arial"/>
          <w:color w:val="auto"/>
        </w:rPr>
      </w:pP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 xml:space="preserve">Queja 269/2019. Inmobiliaria </w:t>
      </w:r>
      <w:proofErr w:type="spellStart"/>
      <w:r w:rsidRPr="0081032C">
        <w:rPr>
          <w:rFonts w:ascii="Arial" w:hAnsi="Arial" w:cs="Arial"/>
          <w:color w:val="auto"/>
        </w:rPr>
        <w:t>Hodaya</w:t>
      </w:r>
      <w:proofErr w:type="spellEnd"/>
      <w:r w:rsidRPr="0081032C">
        <w:rPr>
          <w:rFonts w:ascii="Arial" w:hAnsi="Arial" w:cs="Arial"/>
          <w:color w:val="auto"/>
        </w:rPr>
        <w:t xml:space="preserve">, S.A. de C.V. 2 de octubre de 2019. Unanimidad de votos. Ponente: Ma. </w:t>
      </w:r>
      <w:proofErr w:type="gramStart"/>
      <w:r w:rsidRPr="0081032C">
        <w:rPr>
          <w:rFonts w:ascii="Arial" w:hAnsi="Arial" w:cs="Arial"/>
          <w:color w:val="auto"/>
        </w:rPr>
        <w:t>del</w:t>
      </w:r>
      <w:proofErr w:type="gramEnd"/>
      <w:r w:rsidRPr="0081032C">
        <w:rPr>
          <w:rFonts w:ascii="Arial" w:hAnsi="Arial" w:cs="Arial"/>
          <w:color w:val="auto"/>
        </w:rPr>
        <w:t xml:space="preserve"> Refugio González Tamayo. Secretario: Rodrigo Pérez </w:t>
      </w:r>
      <w:proofErr w:type="spellStart"/>
      <w:r w:rsidRPr="0081032C">
        <w:rPr>
          <w:rFonts w:ascii="Arial" w:hAnsi="Arial" w:cs="Arial"/>
          <w:color w:val="auto"/>
        </w:rPr>
        <w:t>Maissón</w:t>
      </w:r>
      <w:proofErr w:type="spellEnd"/>
      <w:r w:rsidRPr="0081032C">
        <w:rPr>
          <w:rFonts w:ascii="Arial" w:hAnsi="Arial" w:cs="Arial"/>
          <w:color w:val="auto"/>
        </w:rPr>
        <w:t>.</w:t>
      </w:r>
    </w:p>
    <w:p w:rsidR="0081032C" w:rsidRPr="0081032C" w:rsidRDefault="0081032C" w:rsidP="0081032C">
      <w:pPr>
        <w:spacing w:after="0" w:line="240" w:lineRule="auto"/>
        <w:jc w:val="both"/>
        <w:rPr>
          <w:rFonts w:ascii="Arial" w:hAnsi="Arial" w:cs="Arial"/>
          <w:color w:val="auto"/>
        </w:rPr>
      </w:pPr>
    </w:p>
    <w:p w:rsidR="0081032C" w:rsidRPr="0081032C" w:rsidRDefault="0081032C" w:rsidP="0081032C">
      <w:pPr>
        <w:spacing w:after="0" w:line="240" w:lineRule="auto"/>
        <w:jc w:val="both"/>
        <w:rPr>
          <w:rFonts w:ascii="Arial" w:hAnsi="Arial" w:cs="Arial"/>
          <w:color w:val="auto"/>
        </w:rPr>
      </w:pPr>
      <w:r w:rsidRPr="0081032C">
        <w:rPr>
          <w:rFonts w:ascii="Arial" w:hAnsi="Arial" w:cs="Arial"/>
          <w:color w:val="auto"/>
        </w:rPr>
        <w:t>Nota: La tesis aislada XVII.1o.C.T.45 K (10a.) citada, aparece publicada en el Semanario Judicial de la Federación del viernes 28 de junio de 2019 a las 10:34 horas y en la Gaceta del Semanario Judicial de la Federación, Décima Época, Libro 67, Tomo VI, junio de 2019, página 5184, con número de registro digital: 2020199.</w:t>
      </w:r>
    </w:p>
    <w:p w:rsidR="0081032C" w:rsidRPr="0081032C" w:rsidRDefault="0081032C" w:rsidP="0081032C">
      <w:pPr>
        <w:spacing w:after="0" w:line="240" w:lineRule="auto"/>
        <w:jc w:val="both"/>
        <w:rPr>
          <w:rFonts w:ascii="Arial" w:hAnsi="Arial" w:cs="Arial"/>
          <w:color w:val="auto"/>
        </w:rPr>
      </w:pPr>
    </w:p>
    <w:p w:rsidR="00C630BB" w:rsidRDefault="00C630BB" w:rsidP="00086178">
      <w:pPr>
        <w:spacing w:after="0" w:line="240" w:lineRule="auto"/>
        <w:jc w:val="both"/>
        <w:rPr>
          <w:rFonts w:ascii="Arial" w:hAnsi="Arial" w:cs="Arial"/>
          <w:color w:val="auto"/>
        </w:rPr>
      </w:pPr>
    </w:p>
    <w:p w:rsidR="00086178" w:rsidRPr="00086178" w:rsidRDefault="00C630BB" w:rsidP="00086178">
      <w:pPr>
        <w:spacing w:after="0" w:line="240" w:lineRule="auto"/>
        <w:jc w:val="both"/>
        <w:rPr>
          <w:rFonts w:ascii="Arial" w:hAnsi="Arial" w:cs="Arial"/>
          <w:color w:val="auto"/>
        </w:rPr>
      </w:pPr>
      <w:r>
        <w:rPr>
          <w:rFonts w:ascii="Arial" w:hAnsi="Arial" w:cs="Arial"/>
          <w:color w:val="auto"/>
        </w:rPr>
        <w:t xml:space="preserve">10. </w:t>
      </w:r>
      <w:r w:rsidR="00086178" w:rsidRPr="00086178">
        <w:rPr>
          <w:rFonts w:ascii="Arial" w:hAnsi="Arial" w:cs="Arial"/>
          <w:color w:val="auto"/>
        </w:rPr>
        <w:t xml:space="preserve">Época: Décima Época </w:t>
      </w: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t xml:space="preserve">Registro: 2021414 </w:t>
      </w: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t xml:space="preserve">Instancia: Tribunales Colegiados de Circuito </w:t>
      </w: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t xml:space="preserve">Tipo de Tesis: Aislada </w:t>
      </w: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t xml:space="preserve">Fuente: Semanario Judicial de la Federación </w:t>
      </w: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t xml:space="preserve">Publicación: viernes 17 de enero de 2020 10:18 h </w:t>
      </w: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t xml:space="preserve">Materia(s): (Constitucional) </w:t>
      </w: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t xml:space="preserve">Tesis: I.9o.A.3 CS (10a.) </w:t>
      </w:r>
    </w:p>
    <w:p w:rsidR="00086178" w:rsidRPr="00086178" w:rsidRDefault="00086178" w:rsidP="00086178">
      <w:pPr>
        <w:spacing w:after="0" w:line="240" w:lineRule="auto"/>
        <w:jc w:val="both"/>
        <w:rPr>
          <w:rFonts w:ascii="Arial" w:hAnsi="Arial" w:cs="Arial"/>
          <w:color w:val="auto"/>
        </w:rPr>
      </w:pPr>
    </w:p>
    <w:p w:rsidR="00086178" w:rsidRPr="00C630BB" w:rsidRDefault="00086178" w:rsidP="00C630BB">
      <w:pPr>
        <w:pStyle w:val="Ttulo2"/>
        <w:jc w:val="both"/>
        <w:rPr>
          <w:rFonts w:ascii="Arial" w:hAnsi="Arial" w:cs="Arial"/>
          <w:color w:val="B35E06" w:themeColor="accent1" w:themeShade="BF"/>
          <w:sz w:val="26"/>
          <w:szCs w:val="26"/>
        </w:rPr>
      </w:pPr>
      <w:bookmarkStart w:id="11" w:name="_Toc30597562"/>
      <w:r w:rsidRPr="00C630BB">
        <w:rPr>
          <w:rFonts w:ascii="Arial" w:hAnsi="Arial" w:cs="Arial"/>
          <w:color w:val="B35E06" w:themeColor="accent1" w:themeShade="BF"/>
          <w:sz w:val="26"/>
          <w:szCs w:val="26"/>
        </w:rPr>
        <w:lastRenderedPageBreak/>
        <w:t>DISCRIMINACIÓN INDIRECTA. MÉTODO PARA DETERMINAR SI LA APLICACIÓN DE UNA NORMA JURÍDICA LA GENERA EN PERJUICIO DEL MATRIMONIO DE PERSONAS DEL MISMO SEXO.</w:t>
      </w:r>
      <w:r w:rsidR="00267387">
        <w:rPr>
          <w:rStyle w:val="Refdenotaalpie"/>
          <w:rFonts w:ascii="Arial" w:hAnsi="Arial" w:cs="Arial"/>
          <w:color w:val="B35E06" w:themeColor="accent1" w:themeShade="BF"/>
          <w:sz w:val="26"/>
          <w:szCs w:val="26"/>
        </w:rPr>
        <w:footnoteReference w:id="7"/>
      </w:r>
      <w:bookmarkEnd w:id="11"/>
    </w:p>
    <w:p w:rsidR="00086178" w:rsidRPr="00086178" w:rsidRDefault="00086178" w:rsidP="00086178">
      <w:pPr>
        <w:spacing w:after="0" w:line="240" w:lineRule="auto"/>
        <w:jc w:val="both"/>
        <w:rPr>
          <w:rFonts w:ascii="Arial" w:hAnsi="Arial" w:cs="Arial"/>
          <w:color w:val="auto"/>
        </w:rPr>
      </w:pP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t>El análisis relativo a si la aplicación de una norma genera una conducta o acto discriminatorio indirecto debe realizarse conforme a los pasos siguientes: 1) El juzgador tiene que partir de la premisa de que si bien los preceptos aparentemente son neutros, pues no invocan explícitamente un factor prohibido de discriminación (discriminación directa), el resultado de su contenido o aplicación puede generar un impacto desproporcionado en personas o grupos en situación de desventaja histórica, sin que exista para ello una justificación objetiva y razonable (discriminación indirecta), en este caso, en los matrimonios de parejas del mismo sexo. 2) Debe tomar en cuenta factores contextuales o estructurales de las personas homosexuales; por ejemplo: la "</w:t>
      </w:r>
      <w:proofErr w:type="spellStart"/>
      <w:r w:rsidRPr="00086178">
        <w:rPr>
          <w:rFonts w:ascii="Arial" w:hAnsi="Arial" w:cs="Arial"/>
          <w:color w:val="auto"/>
        </w:rPr>
        <w:t>heteronormatividad</w:t>
      </w:r>
      <w:proofErr w:type="spellEnd"/>
      <w:r w:rsidRPr="00086178">
        <w:rPr>
          <w:rFonts w:ascii="Arial" w:hAnsi="Arial" w:cs="Arial"/>
          <w:color w:val="auto"/>
        </w:rPr>
        <w:t>", que implica el sesgo cultural a favor de las relaciones heterosexuales, conforme al cual, dichas relaciones son consideradas "normales, naturales e ideales" y son preferidas sobre relaciones del mismo sexo o del mismo género, de manera que aquélla se compone de reglas jurídicas, sociales y culturales que obligan a las personas a actuar conforme a patrones heterosexuales dominantes e imperantes, privilegiando la heterosexualidad sobre la homosexualidad, a través de la estigmatización de las relaciones de este último tipo y de la "jerarquía sexual" según el cual, ciertas expresiones de sexualidad, como la heterosexualidad, son concebidas como "buenas, normales, naturales, bendecidas", mientras que otras como la homosexualidad, se estiman "malas, anormales, contra la naturaleza o maldecidas". 3) Debe tomar en consideración el factor histórico del acceso al matrimonio por parte de las personas del mismo sexo en la legislación nacional y, en específico, en la del ámbito territorial de residencia del matrimonio que dio origen a la controversia, y si ese contexto pudo generar un impacto negativo. 4) Finalmente, con base en el método señalado, es decir, en los factores de "</w:t>
      </w:r>
      <w:proofErr w:type="spellStart"/>
      <w:r w:rsidRPr="00086178">
        <w:rPr>
          <w:rFonts w:ascii="Arial" w:hAnsi="Arial" w:cs="Arial"/>
          <w:color w:val="auto"/>
        </w:rPr>
        <w:t>heteronormatividad</w:t>
      </w:r>
      <w:proofErr w:type="spellEnd"/>
      <w:r w:rsidRPr="00086178">
        <w:rPr>
          <w:rFonts w:ascii="Arial" w:hAnsi="Arial" w:cs="Arial"/>
          <w:color w:val="auto"/>
        </w:rPr>
        <w:t>", "jerarquía sexual", histórico y territorial de acceso al matrimonio de personas del mismo sexo, con libertad de jurisdicción deberá determinar si, en el caso particular, la norma jurídica cuestionada genera discriminación indirecta.</w:t>
      </w:r>
    </w:p>
    <w:p w:rsidR="00086178" w:rsidRPr="00086178" w:rsidRDefault="00086178" w:rsidP="00086178">
      <w:pPr>
        <w:spacing w:after="0" w:line="240" w:lineRule="auto"/>
        <w:jc w:val="both"/>
        <w:rPr>
          <w:rFonts w:ascii="Arial" w:hAnsi="Arial" w:cs="Arial"/>
          <w:color w:val="auto"/>
        </w:rPr>
      </w:pP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t>NOVENO TRIBUNAL COLEGIADO EN MATERIA ADMINISTRATIVA DEL PRIMER CIRCUITO.</w:t>
      </w:r>
    </w:p>
    <w:p w:rsidR="00086178" w:rsidRPr="00086178" w:rsidRDefault="00086178" w:rsidP="00086178">
      <w:pPr>
        <w:spacing w:after="0" w:line="240" w:lineRule="auto"/>
        <w:jc w:val="both"/>
        <w:rPr>
          <w:rFonts w:ascii="Arial" w:hAnsi="Arial" w:cs="Arial"/>
          <w:color w:val="auto"/>
        </w:rPr>
      </w:pPr>
    </w:p>
    <w:p w:rsidR="00086178" w:rsidRPr="00086178" w:rsidRDefault="00086178" w:rsidP="00086178">
      <w:pPr>
        <w:spacing w:after="0" w:line="240" w:lineRule="auto"/>
        <w:jc w:val="both"/>
        <w:rPr>
          <w:rFonts w:ascii="Arial" w:hAnsi="Arial" w:cs="Arial"/>
          <w:color w:val="auto"/>
        </w:rPr>
      </w:pPr>
      <w:r w:rsidRPr="00086178">
        <w:rPr>
          <w:rFonts w:ascii="Arial" w:hAnsi="Arial" w:cs="Arial"/>
          <w:color w:val="auto"/>
        </w:rPr>
        <w:lastRenderedPageBreak/>
        <w:t>Revisión administrativa (Ley Federal de Procedimiento Contencioso Administrativo) 196/2019. Consejo Nacional para Prevenir la Discriminación. 22 de agosto de 2019. Unanimidad de votos. Ponente: Edwin Noé García Baeza. Secretario: Jorge Arturo Acosta Argüelles.</w:t>
      </w:r>
    </w:p>
    <w:p w:rsidR="00086178" w:rsidRPr="00086178" w:rsidRDefault="00086178" w:rsidP="00086178">
      <w:pPr>
        <w:spacing w:after="0" w:line="240" w:lineRule="auto"/>
        <w:jc w:val="both"/>
        <w:rPr>
          <w:rFonts w:ascii="Arial" w:hAnsi="Arial" w:cs="Arial"/>
          <w:color w:val="auto"/>
        </w:rPr>
      </w:pPr>
    </w:p>
    <w:p w:rsidR="0081032C" w:rsidRDefault="0081032C" w:rsidP="00A54A0F">
      <w:pPr>
        <w:spacing w:after="0" w:line="240" w:lineRule="auto"/>
        <w:jc w:val="both"/>
        <w:rPr>
          <w:rFonts w:ascii="Arial" w:hAnsi="Arial" w:cs="Arial"/>
          <w:color w:val="auto"/>
        </w:rPr>
      </w:pPr>
    </w:p>
    <w:p w:rsidR="00332CF2" w:rsidRPr="00332CF2" w:rsidRDefault="00267387" w:rsidP="00332CF2">
      <w:pPr>
        <w:spacing w:after="0" w:line="240" w:lineRule="auto"/>
        <w:jc w:val="both"/>
        <w:rPr>
          <w:rFonts w:ascii="Arial" w:hAnsi="Arial" w:cs="Arial"/>
          <w:color w:val="auto"/>
        </w:rPr>
      </w:pPr>
      <w:r>
        <w:rPr>
          <w:rFonts w:ascii="Arial" w:hAnsi="Arial" w:cs="Arial"/>
          <w:color w:val="auto"/>
        </w:rPr>
        <w:t xml:space="preserve">11. </w:t>
      </w:r>
      <w:r w:rsidR="00332CF2" w:rsidRPr="00332CF2">
        <w:rPr>
          <w:rFonts w:ascii="Arial" w:hAnsi="Arial" w:cs="Arial"/>
          <w:color w:val="auto"/>
        </w:rPr>
        <w:t xml:space="preserve">Época: Décima Época </w:t>
      </w: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 xml:space="preserve">Registro: 2021412 </w:t>
      </w: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 xml:space="preserve">Instancia: Pleno </w:t>
      </w: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 xml:space="preserve">Tipo de Tesis: Aislada </w:t>
      </w: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 xml:space="preserve">Fuente: Semanario Judicial de la Federación </w:t>
      </w: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 xml:space="preserve">Publicación: viernes 17 de enero de 2020 10:18 h </w:t>
      </w: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 xml:space="preserve">Materia(s): (Constitucional) </w:t>
      </w: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 xml:space="preserve">Tesis: P. I/2019 (10a.) </w:t>
      </w:r>
    </w:p>
    <w:p w:rsidR="00332CF2" w:rsidRPr="00332CF2" w:rsidRDefault="00332CF2" w:rsidP="00332CF2">
      <w:pPr>
        <w:spacing w:after="0" w:line="240" w:lineRule="auto"/>
        <w:jc w:val="both"/>
        <w:rPr>
          <w:rFonts w:ascii="Arial" w:hAnsi="Arial" w:cs="Arial"/>
          <w:color w:val="auto"/>
        </w:rPr>
      </w:pPr>
    </w:p>
    <w:p w:rsidR="00332CF2" w:rsidRPr="00332CF2" w:rsidRDefault="00332CF2" w:rsidP="00267387">
      <w:pPr>
        <w:pStyle w:val="Ttulo2"/>
        <w:jc w:val="both"/>
      </w:pPr>
      <w:bookmarkStart w:id="12" w:name="_Toc30597563"/>
      <w:r w:rsidRPr="00267387">
        <w:rPr>
          <w:rFonts w:ascii="Arial" w:hAnsi="Arial" w:cs="Arial"/>
          <w:color w:val="B35E06" w:themeColor="accent1" w:themeShade="BF"/>
          <w:sz w:val="26"/>
          <w:szCs w:val="26"/>
        </w:rPr>
        <w:t>DERECHO A LA INFORMACIÓN. NO PUEDE ALEGARSE EL CARÁCTER DE "RESERVADO" DE LAS AVERIGUACIONES PREVIAS CUANDO LA INVESTIGACIÓN VERSE SOBRE VIOLACIONES GRAVES DE DERECHOS FUNDAMENTALES O DELITOS DE LESA HUMANIDAD</w:t>
      </w:r>
      <w:r w:rsidRPr="00332CF2">
        <w:t>.</w:t>
      </w:r>
      <w:bookmarkEnd w:id="12"/>
    </w:p>
    <w:p w:rsidR="00332CF2" w:rsidRPr="00332CF2" w:rsidRDefault="00332CF2" w:rsidP="00332CF2">
      <w:pPr>
        <w:spacing w:after="0" w:line="240" w:lineRule="auto"/>
        <w:jc w:val="both"/>
        <w:rPr>
          <w:rFonts w:ascii="Arial" w:hAnsi="Arial" w:cs="Arial"/>
          <w:color w:val="auto"/>
        </w:rPr>
      </w:pP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 xml:space="preserve">El artículo 14 de la abrogada Ley Federal de Transparencia y Acceso a la Información Pública Gubernamental, establece los supuestos en los cuales la información se considera reservada, entre ellos, las averiguaciones previas. Sin embargo, el último párrafo de dicho precepto señala que no puede invocarse el carácter de reservado cuando se trate de la investigación de violaciones graves de derechos fundamentales o delitos de lesa humanidad. Sobre esta excepción, es importante precisar que su justificación reside en la vertiente social del derecho a la información y en su carácter instrumental frente al goce de otros derechos humanos, en tanto que esta dimensión colectiva del derecho impacta directamente en el ejercicio y control democrático del poder, teniendo como su eje fundamental precisamente el interés general que reviste el conocimiento sobre determinada información. Desde esta perspectiva, tratándose de investigaciones sobre violaciones graves de derechos fundamentales o delitos de lesa humanidad, el derecho de acceso a la información debe prevalecer sobre la tutela que conlleva la reserva de las averiguaciones previas pues, por un lado, se afectan bienes de tal relevancia y con tal intensidad que el perjuicio trasciende de la esfera individual de la persona directamente afectada para constituirse como una afectación a la </w:t>
      </w:r>
      <w:r w:rsidRPr="00332CF2">
        <w:rPr>
          <w:rFonts w:ascii="Arial" w:hAnsi="Arial" w:cs="Arial"/>
          <w:color w:val="auto"/>
        </w:rPr>
        <w:lastRenderedPageBreak/>
        <w:t>sociedad como un todo y, además, porque su conocimiento permite el ejercicio de un control y escrutinio por parte de la sociedad respecto al cumplimiento de las obligaciones a cargo del Estado ante este tipo de violaciones y delitos, estableciéndose así una relación instrumental frente a otros derechos humanos, al instituirse el derecho de acceso a la información como una garantía para su protección.</w:t>
      </w:r>
    </w:p>
    <w:p w:rsidR="00332CF2" w:rsidRPr="00332CF2" w:rsidRDefault="00332CF2" w:rsidP="00332CF2">
      <w:pPr>
        <w:spacing w:after="0" w:line="240" w:lineRule="auto"/>
        <w:jc w:val="both"/>
        <w:rPr>
          <w:rFonts w:ascii="Arial" w:hAnsi="Arial" w:cs="Arial"/>
          <w:color w:val="auto"/>
        </w:rPr>
      </w:pP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PLENO</w:t>
      </w:r>
    </w:p>
    <w:p w:rsidR="00332CF2" w:rsidRPr="00332CF2" w:rsidRDefault="00332CF2" w:rsidP="00332CF2">
      <w:pPr>
        <w:spacing w:after="0" w:line="240" w:lineRule="auto"/>
        <w:jc w:val="both"/>
        <w:rPr>
          <w:rFonts w:ascii="Arial" w:hAnsi="Arial" w:cs="Arial"/>
          <w:color w:val="auto"/>
        </w:rPr>
      </w:pP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 xml:space="preserve">Amparo en revisión 661/2014. Fundación para la Justicia y el Estado Democrático de Derecho, A.C. 4 de abril de 2019. Mayoría de diez votos de los Ministros Alfredo Gutiérrez Ortiz Mena, Juan Luis González Alcántara </w:t>
      </w:r>
      <w:proofErr w:type="spellStart"/>
      <w:r w:rsidRPr="00332CF2">
        <w:rPr>
          <w:rFonts w:ascii="Arial" w:hAnsi="Arial" w:cs="Arial"/>
          <w:color w:val="auto"/>
        </w:rPr>
        <w:t>Carrancá</w:t>
      </w:r>
      <w:proofErr w:type="spellEnd"/>
      <w:r w:rsidRPr="00332CF2">
        <w:rPr>
          <w:rFonts w:ascii="Arial" w:hAnsi="Arial" w:cs="Arial"/>
          <w:color w:val="auto"/>
        </w:rPr>
        <w:t xml:space="preserve">, </w:t>
      </w:r>
      <w:proofErr w:type="spellStart"/>
      <w:r w:rsidRPr="00332CF2">
        <w:rPr>
          <w:rFonts w:ascii="Arial" w:hAnsi="Arial" w:cs="Arial"/>
          <w:color w:val="auto"/>
        </w:rPr>
        <w:t>Yasmín</w:t>
      </w:r>
      <w:proofErr w:type="spellEnd"/>
      <w:r w:rsidRPr="00332CF2">
        <w:rPr>
          <w:rFonts w:ascii="Arial" w:hAnsi="Arial" w:cs="Arial"/>
          <w:color w:val="auto"/>
        </w:rPr>
        <w:t xml:space="preserve"> Esquivel </w:t>
      </w:r>
      <w:proofErr w:type="spellStart"/>
      <w:r w:rsidRPr="00332CF2">
        <w:rPr>
          <w:rFonts w:ascii="Arial" w:hAnsi="Arial" w:cs="Arial"/>
          <w:color w:val="auto"/>
        </w:rPr>
        <w:t>Mossa</w:t>
      </w:r>
      <w:proofErr w:type="spellEnd"/>
      <w:r w:rsidRPr="00332CF2">
        <w:rPr>
          <w:rFonts w:ascii="Arial" w:hAnsi="Arial" w:cs="Arial"/>
          <w:color w:val="auto"/>
        </w:rPr>
        <w:t xml:space="preserve">, José Fernando Franco González Salas, Luis María Aguilar Morales, Jorge Mario Pardo Rebolledo, Norma Lucía Piña Hernández, Eduardo Medina Mora I., Javier </w:t>
      </w:r>
      <w:proofErr w:type="spellStart"/>
      <w:r w:rsidRPr="00332CF2">
        <w:rPr>
          <w:rFonts w:ascii="Arial" w:hAnsi="Arial" w:cs="Arial"/>
          <w:color w:val="auto"/>
        </w:rPr>
        <w:t>Laynez</w:t>
      </w:r>
      <w:proofErr w:type="spellEnd"/>
      <w:r w:rsidRPr="00332CF2">
        <w:rPr>
          <w:rFonts w:ascii="Arial" w:hAnsi="Arial" w:cs="Arial"/>
          <w:color w:val="auto"/>
        </w:rPr>
        <w:t xml:space="preserve"> </w:t>
      </w:r>
      <w:proofErr w:type="spellStart"/>
      <w:r w:rsidRPr="00332CF2">
        <w:rPr>
          <w:rFonts w:ascii="Arial" w:hAnsi="Arial" w:cs="Arial"/>
          <w:color w:val="auto"/>
        </w:rPr>
        <w:t>Potisek</w:t>
      </w:r>
      <w:proofErr w:type="spellEnd"/>
      <w:r w:rsidRPr="00332CF2">
        <w:rPr>
          <w:rFonts w:ascii="Arial" w:hAnsi="Arial" w:cs="Arial"/>
          <w:color w:val="auto"/>
        </w:rPr>
        <w:t xml:space="preserve"> y Alberto Pérez </w:t>
      </w:r>
      <w:proofErr w:type="spellStart"/>
      <w:r w:rsidRPr="00332CF2">
        <w:rPr>
          <w:rFonts w:ascii="Arial" w:hAnsi="Arial" w:cs="Arial"/>
          <w:color w:val="auto"/>
        </w:rPr>
        <w:t>Dayán</w:t>
      </w:r>
      <w:proofErr w:type="spellEnd"/>
      <w:r w:rsidRPr="00332CF2">
        <w:rPr>
          <w:rFonts w:ascii="Arial" w:hAnsi="Arial" w:cs="Arial"/>
          <w:color w:val="auto"/>
        </w:rPr>
        <w:t>, respecto del estudio de los agravios correspondientes; votó en contra del sentido, pero a favor de las consideraciones contenidas en esta tesis: Arturo Zaldívar Lelo de Larrea. Ponente: Norma Lucía Piña Hernández. Secretario: Eduardo Aranda Martínez.</w:t>
      </w:r>
    </w:p>
    <w:p w:rsidR="00332CF2" w:rsidRPr="00332CF2" w:rsidRDefault="00332CF2" w:rsidP="00332CF2">
      <w:pPr>
        <w:spacing w:after="0" w:line="240" w:lineRule="auto"/>
        <w:jc w:val="both"/>
        <w:rPr>
          <w:rFonts w:ascii="Arial" w:hAnsi="Arial" w:cs="Arial"/>
          <w:color w:val="auto"/>
        </w:rPr>
      </w:pPr>
    </w:p>
    <w:p w:rsidR="00332CF2" w:rsidRPr="00332CF2" w:rsidRDefault="00332CF2" w:rsidP="00332CF2">
      <w:pPr>
        <w:spacing w:after="0" w:line="240" w:lineRule="auto"/>
        <w:jc w:val="both"/>
        <w:rPr>
          <w:rFonts w:ascii="Arial" w:hAnsi="Arial" w:cs="Arial"/>
          <w:color w:val="auto"/>
        </w:rPr>
      </w:pPr>
      <w:r w:rsidRPr="00332CF2">
        <w:rPr>
          <w:rFonts w:ascii="Arial" w:hAnsi="Arial" w:cs="Arial"/>
          <w:color w:val="auto"/>
        </w:rPr>
        <w:t>El Tribunal Pleno, el cinco de diciembre en curso, aprobó, con el número I/2019 (10a.), la tesis aislada que antecede. Ciudad de México, a cinco de diciembre de dos mil diecinueve.</w:t>
      </w:r>
    </w:p>
    <w:p w:rsidR="00332CF2" w:rsidRPr="00332CF2" w:rsidRDefault="00332CF2" w:rsidP="00332CF2">
      <w:pPr>
        <w:spacing w:after="0" w:line="240" w:lineRule="auto"/>
        <w:jc w:val="both"/>
        <w:rPr>
          <w:rFonts w:ascii="Arial" w:hAnsi="Arial" w:cs="Arial"/>
          <w:color w:val="auto"/>
        </w:rPr>
      </w:pPr>
    </w:p>
    <w:p w:rsidR="00267387" w:rsidRDefault="00267387" w:rsidP="00D0003E">
      <w:pPr>
        <w:spacing w:after="0" w:line="240" w:lineRule="auto"/>
        <w:jc w:val="both"/>
        <w:rPr>
          <w:rFonts w:ascii="Arial" w:hAnsi="Arial" w:cs="Arial"/>
          <w:color w:val="auto"/>
        </w:rPr>
      </w:pPr>
    </w:p>
    <w:p w:rsidR="00D0003E" w:rsidRPr="00D0003E" w:rsidRDefault="00267387" w:rsidP="00D0003E">
      <w:pPr>
        <w:spacing w:after="0" w:line="240" w:lineRule="auto"/>
        <w:jc w:val="both"/>
        <w:rPr>
          <w:rFonts w:ascii="Arial" w:hAnsi="Arial" w:cs="Arial"/>
          <w:color w:val="auto"/>
        </w:rPr>
      </w:pPr>
      <w:r>
        <w:rPr>
          <w:rFonts w:ascii="Arial" w:hAnsi="Arial" w:cs="Arial"/>
          <w:color w:val="auto"/>
        </w:rPr>
        <w:t xml:space="preserve">12. </w:t>
      </w:r>
      <w:r w:rsidR="00D0003E" w:rsidRPr="00D0003E">
        <w:rPr>
          <w:rFonts w:ascii="Arial" w:hAnsi="Arial" w:cs="Arial"/>
          <w:color w:val="auto"/>
        </w:rPr>
        <w:t xml:space="preserve">Época: Décima Época </w:t>
      </w: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 xml:space="preserve">Registro: 2021411 </w:t>
      </w: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 xml:space="preserve">Instancia: Pleno </w:t>
      </w: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 xml:space="preserve">Tipo de Tesis: Aislada </w:t>
      </w: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 xml:space="preserve">Fuente: Semanario Judicial de la Federación </w:t>
      </w: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 xml:space="preserve">Publicación: viernes 17 de enero de 2020 10:18 h </w:t>
      </w: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 xml:space="preserve">Materia(s): (Constitucional) </w:t>
      </w: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 xml:space="preserve">Tesis: P. II/2019 (10a.) </w:t>
      </w:r>
    </w:p>
    <w:p w:rsidR="00D0003E" w:rsidRPr="00D0003E" w:rsidRDefault="00D0003E" w:rsidP="00D0003E">
      <w:pPr>
        <w:spacing w:after="0" w:line="240" w:lineRule="auto"/>
        <w:jc w:val="both"/>
        <w:rPr>
          <w:rFonts w:ascii="Arial" w:hAnsi="Arial" w:cs="Arial"/>
          <w:color w:val="auto"/>
        </w:rPr>
      </w:pPr>
    </w:p>
    <w:p w:rsidR="00D0003E" w:rsidRPr="00267387" w:rsidRDefault="00D0003E" w:rsidP="00267387">
      <w:pPr>
        <w:pStyle w:val="Ttulo2"/>
        <w:jc w:val="both"/>
        <w:rPr>
          <w:rFonts w:ascii="Arial" w:hAnsi="Arial" w:cs="Arial"/>
          <w:sz w:val="26"/>
          <w:szCs w:val="26"/>
        </w:rPr>
      </w:pPr>
      <w:bookmarkStart w:id="13" w:name="_Toc30597564"/>
      <w:r w:rsidRPr="00267387">
        <w:rPr>
          <w:rFonts w:ascii="Arial" w:hAnsi="Arial" w:cs="Arial"/>
          <w:color w:val="B35E06" w:themeColor="accent1" w:themeShade="BF"/>
          <w:sz w:val="26"/>
          <w:szCs w:val="26"/>
        </w:rPr>
        <w:t>DERECHO A LA INFORMACIÓN. LA RELACIÓN CON SUS LÍMITES CONSTITUCIONALES NO DEBE PLANTEARSE EN TÉRMINOS ABSOLUTOS.</w:t>
      </w:r>
      <w:bookmarkEnd w:id="13"/>
    </w:p>
    <w:p w:rsidR="00D0003E" w:rsidRPr="00D0003E" w:rsidRDefault="00D0003E" w:rsidP="00D0003E">
      <w:pPr>
        <w:spacing w:after="0" w:line="240" w:lineRule="auto"/>
        <w:jc w:val="both"/>
        <w:rPr>
          <w:rFonts w:ascii="Arial" w:hAnsi="Arial" w:cs="Arial"/>
          <w:color w:val="auto"/>
        </w:rPr>
      </w:pP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lastRenderedPageBreak/>
        <w:t>La clasificación de la información como reservada corresponde al desarrollo del límite previsto en el artículo 6o. constitucional referente a la protección del interés público, mientras que la categoría de información confidencial responde a la necesidad de proteger la vida privada de las personas y sus datos personales. Desde esta perspectiva, resulta necesario entender que la relación entre el derecho a la información y sus límites, en cuanto se fundamentan en otros bienes constitucionalmente tutelados, no se da en términos absolutos de todo o nada, sino que su interacción es de carácter ponderativo, en la medida en que la natural tensión que pueda existir entre ellos, requiere en su aplicación un equilibrio necesario entre el ejercicio efectivo del derecho a la información y la indebida afectación de otro tipo de bienes y valores constitucionales que están instituidos también en beneficio de las personas. Es por ello que si se reconoce que ningún derecho humano tiene el carácter de absoluto, entonces debe igualmente reconocerse que ninguno de sus límites puede plantearse en dichos términos, por lo que la relación entre ambos extremos debe plantearse en los mismos términos de equilibrio.</w:t>
      </w:r>
    </w:p>
    <w:p w:rsidR="00D0003E" w:rsidRPr="00D0003E" w:rsidRDefault="00D0003E" w:rsidP="00D0003E">
      <w:pPr>
        <w:spacing w:after="0" w:line="240" w:lineRule="auto"/>
        <w:jc w:val="both"/>
        <w:rPr>
          <w:rFonts w:ascii="Arial" w:hAnsi="Arial" w:cs="Arial"/>
          <w:color w:val="auto"/>
        </w:rPr>
      </w:pP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PLENO</w:t>
      </w:r>
    </w:p>
    <w:p w:rsidR="00D0003E" w:rsidRPr="00D0003E" w:rsidRDefault="00D0003E" w:rsidP="00D0003E">
      <w:pPr>
        <w:spacing w:after="0" w:line="240" w:lineRule="auto"/>
        <w:jc w:val="both"/>
        <w:rPr>
          <w:rFonts w:ascii="Arial" w:hAnsi="Arial" w:cs="Arial"/>
          <w:color w:val="auto"/>
        </w:rPr>
      </w:pP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 xml:space="preserve">Amparo en revisión 661/2014. Fundación para la Justicia y el Estado Democrático de Derecho, A.C. 4 de abril de 2019. Mayoría de diez votos de los Ministros Alfredo Gutiérrez Ortiz Mena, Juan Luis González Alcántara </w:t>
      </w:r>
      <w:proofErr w:type="spellStart"/>
      <w:r w:rsidRPr="00D0003E">
        <w:rPr>
          <w:rFonts w:ascii="Arial" w:hAnsi="Arial" w:cs="Arial"/>
          <w:color w:val="auto"/>
        </w:rPr>
        <w:t>Carrancá</w:t>
      </w:r>
      <w:proofErr w:type="spellEnd"/>
      <w:r w:rsidRPr="00D0003E">
        <w:rPr>
          <w:rFonts w:ascii="Arial" w:hAnsi="Arial" w:cs="Arial"/>
          <w:color w:val="auto"/>
        </w:rPr>
        <w:t xml:space="preserve">, </w:t>
      </w:r>
      <w:proofErr w:type="spellStart"/>
      <w:r w:rsidRPr="00D0003E">
        <w:rPr>
          <w:rFonts w:ascii="Arial" w:hAnsi="Arial" w:cs="Arial"/>
          <w:color w:val="auto"/>
        </w:rPr>
        <w:t>Yasmín</w:t>
      </w:r>
      <w:proofErr w:type="spellEnd"/>
      <w:r w:rsidRPr="00D0003E">
        <w:rPr>
          <w:rFonts w:ascii="Arial" w:hAnsi="Arial" w:cs="Arial"/>
          <w:color w:val="auto"/>
        </w:rPr>
        <w:t xml:space="preserve"> Esquivel </w:t>
      </w:r>
      <w:proofErr w:type="spellStart"/>
      <w:r w:rsidRPr="00D0003E">
        <w:rPr>
          <w:rFonts w:ascii="Arial" w:hAnsi="Arial" w:cs="Arial"/>
          <w:color w:val="auto"/>
        </w:rPr>
        <w:t>Mossa</w:t>
      </w:r>
      <w:proofErr w:type="spellEnd"/>
      <w:r w:rsidRPr="00D0003E">
        <w:rPr>
          <w:rFonts w:ascii="Arial" w:hAnsi="Arial" w:cs="Arial"/>
          <w:color w:val="auto"/>
        </w:rPr>
        <w:t xml:space="preserve">, José Fernando Franco González Salas, Luis María Aguilar Morales, Jorge Mario Pardo Rebolledo, Norma Lucía Piña Hernández, Eduardo Medina Mora I., Javier </w:t>
      </w:r>
      <w:proofErr w:type="spellStart"/>
      <w:r w:rsidRPr="00D0003E">
        <w:rPr>
          <w:rFonts w:ascii="Arial" w:hAnsi="Arial" w:cs="Arial"/>
          <w:color w:val="auto"/>
        </w:rPr>
        <w:t>Laynez</w:t>
      </w:r>
      <w:proofErr w:type="spellEnd"/>
      <w:r w:rsidRPr="00D0003E">
        <w:rPr>
          <w:rFonts w:ascii="Arial" w:hAnsi="Arial" w:cs="Arial"/>
          <w:color w:val="auto"/>
        </w:rPr>
        <w:t xml:space="preserve"> </w:t>
      </w:r>
      <w:proofErr w:type="spellStart"/>
      <w:r w:rsidRPr="00D0003E">
        <w:rPr>
          <w:rFonts w:ascii="Arial" w:hAnsi="Arial" w:cs="Arial"/>
          <w:color w:val="auto"/>
        </w:rPr>
        <w:t>Potisek</w:t>
      </w:r>
      <w:proofErr w:type="spellEnd"/>
      <w:r w:rsidRPr="00D0003E">
        <w:rPr>
          <w:rFonts w:ascii="Arial" w:hAnsi="Arial" w:cs="Arial"/>
          <w:color w:val="auto"/>
        </w:rPr>
        <w:t xml:space="preserve"> y Alberto Pérez </w:t>
      </w:r>
      <w:proofErr w:type="spellStart"/>
      <w:r w:rsidRPr="00D0003E">
        <w:rPr>
          <w:rFonts w:ascii="Arial" w:hAnsi="Arial" w:cs="Arial"/>
          <w:color w:val="auto"/>
        </w:rPr>
        <w:t>Dayán</w:t>
      </w:r>
      <w:proofErr w:type="spellEnd"/>
      <w:r w:rsidRPr="00D0003E">
        <w:rPr>
          <w:rFonts w:ascii="Arial" w:hAnsi="Arial" w:cs="Arial"/>
          <w:color w:val="auto"/>
        </w:rPr>
        <w:t>, respecto del estudio de los agravios correspondientes; votó en contra del sentido, pero a favor de las consideraciones contenidas en esta tesis: Arturo Zaldívar Lelo de Larrea. Ponente: Norma Lucía Piña Hernández. Secretario: Eduardo Aranda Martínez.</w:t>
      </w:r>
    </w:p>
    <w:p w:rsidR="00D0003E" w:rsidRPr="00D0003E" w:rsidRDefault="00D0003E" w:rsidP="00D0003E">
      <w:pPr>
        <w:spacing w:after="0" w:line="240" w:lineRule="auto"/>
        <w:jc w:val="both"/>
        <w:rPr>
          <w:rFonts w:ascii="Arial" w:hAnsi="Arial" w:cs="Arial"/>
          <w:color w:val="auto"/>
        </w:rPr>
      </w:pPr>
    </w:p>
    <w:p w:rsidR="00D0003E" w:rsidRPr="00D0003E" w:rsidRDefault="00D0003E" w:rsidP="00D0003E">
      <w:pPr>
        <w:spacing w:after="0" w:line="240" w:lineRule="auto"/>
        <w:jc w:val="both"/>
        <w:rPr>
          <w:rFonts w:ascii="Arial" w:hAnsi="Arial" w:cs="Arial"/>
          <w:color w:val="auto"/>
        </w:rPr>
      </w:pPr>
      <w:r w:rsidRPr="00D0003E">
        <w:rPr>
          <w:rFonts w:ascii="Arial" w:hAnsi="Arial" w:cs="Arial"/>
          <w:color w:val="auto"/>
        </w:rPr>
        <w:t xml:space="preserve">El Tribunal Pleno, el cinco de diciembre en curso, aprobó, con el número II/2019 (10a.), la tesis aislada que antecede. Ciudad de México, a cinco de diciembre de dos mil diecinueve. </w:t>
      </w:r>
    </w:p>
    <w:p w:rsidR="00D0003E" w:rsidRPr="00D0003E" w:rsidRDefault="00D0003E" w:rsidP="00D0003E">
      <w:pPr>
        <w:spacing w:after="0" w:line="240" w:lineRule="auto"/>
        <w:jc w:val="both"/>
        <w:rPr>
          <w:rFonts w:ascii="Arial" w:hAnsi="Arial" w:cs="Arial"/>
          <w:color w:val="auto"/>
        </w:rPr>
      </w:pPr>
    </w:p>
    <w:p w:rsidR="00332CF2" w:rsidRDefault="00332CF2" w:rsidP="00A54A0F">
      <w:pPr>
        <w:spacing w:after="0" w:line="240" w:lineRule="auto"/>
        <w:jc w:val="both"/>
        <w:rPr>
          <w:rFonts w:ascii="Arial" w:hAnsi="Arial" w:cs="Arial"/>
          <w:color w:val="auto"/>
        </w:rPr>
      </w:pPr>
    </w:p>
    <w:p w:rsidR="00F450B5" w:rsidRPr="00F450B5" w:rsidRDefault="00267387" w:rsidP="00F450B5">
      <w:pPr>
        <w:spacing w:after="0" w:line="240" w:lineRule="auto"/>
        <w:jc w:val="both"/>
        <w:rPr>
          <w:rFonts w:ascii="Arial" w:hAnsi="Arial" w:cs="Arial"/>
          <w:color w:val="auto"/>
        </w:rPr>
      </w:pPr>
      <w:r>
        <w:rPr>
          <w:rFonts w:ascii="Arial" w:hAnsi="Arial" w:cs="Arial"/>
          <w:color w:val="auto"/>
        </w:rPr>
        <w:t xml:space="preserve">13. </w:t>
      </w:r>
      <w:r w:rsidR="00F450B5" w:rsidRPr="00F450B5">
        <w:rPr>
          <w:rFonts w:ascii="Arial" w:hAnsi="Arial" w:cs="Arial"/>
          <w:color w:val="auto"/>
        </w:rPr>
        <w:t xml:space="preserve">Época: Décima Época </w:t>
      </w: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t xml:space="preserve">Registro: 2021410 </w:t>
      </w: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t xml:space="preserve">Instancia: Tribunales Colegiados de Circuito </w:t>
      </w: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t xml:space="preserve">Tipo de Tesis: Aislada </w:t>
      </w: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t xml:space="preserve">Fuente: Semanario Judicial de la Federación </w:t>
      </w: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lastRenderedPageBreak/>
        <w:t xml:space="preserve">Publicación: viernes 17 de enero de 2020 10:18 h </w:t>
      </w: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t xml:space="preserve">Materia(s): (Constitucional) </w:t>
      </w: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t xml:space="preserve">Tesis: XVII.2o.C.T.3 CS (10a.) </w:t>
      </w:r>
    </w:p>
    <w:p w:rsidR="00F450B5" w:rsidRPr="00F450B5" w:rsidRDefault="00F450B5" w:rsidP="00F450B5">
      <w:pPr>
        <w:spacing w:after="0" w:line="240" w:lineRule="auto"/>
        <w:jc w:val="both"/>
        <w:rPr>
          <w:rFonts w:ascii="Arial" w:hAnsi="Arial" w:cs="Arial"/>
          <w:color w:val="auto"/>
        </w:rPr>
      </w:pPr>
    </w:p>
    <w:p w:rsidR="00F450B5" w:rsidRPr="00267387" w:rsidRDefault="00F450B5" w:rsidP="00267387">
      <w:pPr>
        <w:pStyle w:val="Ttulo2"/>
        <w:jc w:val="both"/>
        <w:rPr>
          <w:rFonts w:ascii="Arial" w:hAnsi="Arial" w:cs="Arial"/>
          <w:color w:val="B35E06" w:themeColor="accent1" w:themeShade="BF"/>
          <w:sz w:val="26"/>
          <w:szCs w:val="26"/>
        </w:rPr>
      </w:pPr>
      <w:bookmarkStart w:id="14" w:name="_Toc30597565"/>
      <w:r w:rsidRPr="00267387">
        <w:rPr>
          <w:rFonts w:ascii="Arial" w:hAnsi="Arial" w:cs="Arial"/>
          <w:color w:val="B35E06" w:themeColor="accent1" w:themeShade="BF"/>
          <w:sz w:val="26"/>
          <w:szCs w:val="26"/>
        </w:rPr>
        <w:t>DERECHO HUMANO A LA CULTURA FÍSICA Y A LA PRÁCTICA DEL DEPORTE. SI LA EXPEDICIÓN DE LA REGLAMENTACIÓN TÉCNICA-DEPORTIVA IMPLICA DISCRIMINACIÓN U OPACIDAD QUE LO IMPIDA, COBRAN VIGENCIA LOS DERECHOS FUNDAMENTALES EN LAS RELACIONES ENTRE PARTICULARES EN SU EJERCICIO.</w:t>
      </w:r>
      <w:bookmarkEnd w:id="14"/>
    </w:p>
    <w:p w:rsidR="00F450B5" w:rsidRPr="00F450B5" w:rsidRDefault="00F450B5" w:rsidP="00F450B5">
      <w:pPr>
        <w:spacing w:after="0" w:line="240" w:lineRule="auto"/>
        <w:jc w:val="both"/>
        <w:rPr>
          <w:rFonts w:ascii="Arial" w:hAnsi="Arial" w:cs="Arial"/>
          <w:color w:val="auto"/>
        </w:rPr>
      </w:pP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t>Corresponde a las asociaciones del sistema nacional deportivo definir las reglas o técnicas que sirven de sustento para el desarrollo de un deporte en concreto, quienes como auxiliares en el derecho en cuestión, no dejan de formar parte de las políticas públicas, de manera que aun cuando tienen reconocido un amplio margen de autonomía para ejercer su facultad de desarrollar reglas y aspectos técnicos, no pueden desconocer los principios constitucionales, ni vulnerar los derechos fundamentales de sus destinatarios, cuando ejerzan esas funciones; de ahí la trascendencia de que en la expedición de toda reglamentación técnica-deportiva, deban respetarse los elementos esenciales de ese derecho humano, con especial relieve en los aspectos de objetividad, transparencia e imparcialidad. Pues en caso de que su expedición implique discriminación u opacidad e impida el derecho humano a la cultura física y a la práctica del deporte de una persona, cobran vigencia los derechos fundamentales en las relaciones entre particulares, en la medida en que los entes del deporte asociado no se encuentran excluidos del imperativo constitucional de igualdad y no discriminación, pues dichas asociaciones están a cargo de un derecho fundamental, que debe ser respetado, protegido y garantizado.</w:t>
      </w:r>
    </w:p>
    <w:p w:rsidR="00F450B5" w:rsidRPr="00F450B5" w:rsidRDefault="00F450B5" w:rsidP="00F450B5">
      <w:pPr>
        <w:spacing w:after="0" w:line="240" w:lineRule="auto"/>
        <w:jc w:val="both"/>
        <w:rPr>
          <w:rFonts w:ascii="Arial" w:hAnsi="Arial" w:cs="Arial"/>
          <w:color w:val="auto"/>
        </w:rPr>
      </w:pP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t>SEGUNDO TRIBUNAL COLEGIADO EN MATERIAS CIVIL Y DE TRABAJO DEL DÉCIMO SÉPTIMO CIRCUITO.</w:t>
      </w:r>
    </w:p>
    <w:p w:rsidR="00F450B5" w:rsidRPr="00F450B5" w:rsidRDefault="00F450B5" w:rsidP="00F450B5">
      <w:pPr>
        <w:spacing w:after="0" w:line="240" w:lineRule="auto"/>
        <w:jc w:val="both"/>
        <w:rPr>
          <w:rFonts w:ascii="Arial" w:hAnsi="Arial" w:cs="Arial"/>
          <w:color w:val="auto"/>
        </w:rPr>
      </w:pPr>
    </w:p>
    <w:p w:rsidR="00F450B5" w:rsidRPr="00F450B5" w:rsidRDefault="00F450B5" w:rsidP="00F450B5">
      <w:pPr>
        <w:spacing w:after="0" w:line="240" w:lineRule="auto"/>
        <w:jc w:val="both"/>
        <w:rPr>
          <w:rFonts w:ascii="Arial" w:hAnsi="Arial" w:cs="Arial"/>
          <w:color w:val="auto"/>
        </w:rPr>
      </w:pPr>
      <w:r w:rsidRPr="00F450B5">
        <w:rPr>
          <w:rFonts w:ascii="Arial" w:hAnsi="Arial" w:cs="Arial"/>
          <w:color w:val="auto"/>
        </w:rPr>
        <w:t xml:space="preserve">Amparo directo 982/2018. Gabriel Valenzuela Ramírez y otro. 13 de junio de 2019. Unanimidad de votos. Ponente: Cuauhtémoc Cuéllar De Luna. Secretaria: </w:t>
      </w:r>
      <w:proofErr w:type="spellStart"/>
      <w:r w:rsidRPr="00F450B5">
        <w:rPr>
          <w:rFonts w:ascii="Arial" w:hAnsi="Arial" w:cs="Arial"/>
          <w:color w:val="auto"/>
        </w:rPr>
        <w:t>Marissa</w:t>
      </w:r>
      <w:proofErr w:type="spellEnd"/>
      <w:r w:rsidRPr="00F450B5">
        <w:rPr>
          <w:rFonts w:ascii="Arial" w:hAnsi="Arial" w:cs="Arial"/>
          <w:color w:val="auto"/>
        </w:rPr>
        <w:t xml:space="preserve"> Alejandra Chávez Sánchez.</w:t>
      </w:r>
    </w:p>
    <w:p w:rsidR="00F450B5" w:rsidRPr="00F450B5" w:rsidRDefault="00F450B5" w:rsidP="00F450B5">
      <w:pPr>
        <w:spacing w:after="0" w:line="240" w:lineRule="auto"/>
        <w:jc w:val="both"/>
        <w:rPr>
          <w:rFonts w:ascii="Arial" w:hAnsi="Arial" w:cs="Arial"/>
          <w:color w:val="auto"/>
        </w:rPr>
      </w:pPr>
    </w:p>
    <w:p w:rsidR="00267387" w:rsidRDefault="00267387" w:rsidP="00D8263E">
      <w:pPr>
        <w:spacing w:after="0" w:line="240" w:lineRule="auto"/>
        <w:jc w:val="both"/>
        <w:rPr>
          <w:rFonts w:ascii="Arial" w:hAnsi="Arial" w:cs="Arial"/>
          <w:color w:val="auto"/>
        </w:rPr>
      </w:pPr>
    </w:p>
    <w:p w:rsidR="00D8263E" w:rsidRPr="00D8263E" w:rsidRDefault="00267387" w:rsidP="00D8263E">
      <w:pPr>
        <w:spacing w:after="0" w:line="240" w:lineRule="auto"/>
        <w:jc w:val="both"/>
        <w:rPr>
          <w:rFonts w:ascii="Arial" w:hAnsi="Arial" w:cs="Arial"/>
          <w:color w:val="auto"/>
        </w:rPr>
      </w:pPr>
      <w:r>
        <w:rPr>
          <w:rFonts w:ascii="Arial" w:hAnsi="Arial" w:cs="Arial"/>
          <w:color w:val="auto"/>
        </w:rPr>
        <w:lastRenderedPageBreak/>
        <w:t xml:space="preserve">14. </w:t>
      </w:r>
      <w:r w:rsidR="00D8263E" w:rsidRPr="00D8263E">
        <w:rPr>
          <w:rFonts w:ascii="Arial" w:hAnsi="Arial" w:cs="Arial"/>
          <w:color w:val="auto"/>
        </w:rPr>
        <w:t xml:space="preserve">Época: Décima Época </w:t>
      </w: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 xml:space="preserve">Registro: 2021409 </w:t>
      </w: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 xml:space="preserve">Instancia: Tribunales Colegiados de Circuito </w:t>
      </w: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 xml:space="preserve">Tipo de Tesis: Aislada </w:t>
      </w: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 xml:space="preserve">Fuente: Semanario Judicial de la Federación </w:t>
      </w: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 xml:space="preserve">Publicación: viernes 17 de enero de 2020 10:18 h </w:t>
      </w: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 xml:space="preserve">Materia(s): (Constitucional) </w:t>
      </w: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 xml:space="preserve">Tesis: XVII.2o.C.T.1 CS (10a.) </w:t>
      </w:r>
    </w:p>
    <w:p w:rsidR="00D8263E" w:rsidRPr="00D8263E" w:rsidRDefault="00D8263E" w:rsidP="00D8263E">
      <w:pPr>
        <w:spacing w:after="0" w:line="240" w:lineRule="auto"/>
        <w:jc w:val="both"/>
        <w:rPr>
          <w:rFonts w:ascii="Arial" w:hAnsi="Arial" w:cs="Arial"/>
          <w:color w:val="auto"/>
        </w:rPr>
      </w:pPr>
    </w:p>
    <w:p w:rsidR="00D8263E" w:rsidRPr="00267387" w:rsidRDefault="00D8263E" w:rsidP="00267387">
      <w:pPr>
        <w:pStyle w:val="Ttulo2"/>
        <w:jc w:val="both"/>
        <w:rPr>
          <w:rFonts w:ascii="Arial" w:hAnsi="Arial" w:cs="Arial"/>
          <w:sz w:val="26"/>
          <w:szCs w:val="26"/>
        </w:rPr>
      </w:pPr>
      <w:bookmarkStart w:id="15" w:name="_Toc30597566"/>
      <w:r w:rsidRPr="00267387">
        <w:rPr>
          <w:rFonts w:ascii="Arial" w:hAnsi="Arial" w:cs="Arial"/>
          <w:color w:val="B35E06" w:themeColor="accent1" w:themeShade="BF"/>
          <w:sz w:val="26"/>
          <w:szCs w:val="26"/>
        </w:rPr>
        <w:t>DERECHO HUMANO A LA CULTURA FÍSICA Y A LA PRÁCTICA DEL DEPORTE. EN SU EJERCICIO DEBEN OBSERVARSE BASES ÉTICAS, EN PRO DE LA DIGNIDAD, INTEGRIDAD, IGUALDAD Y NO DISCRIMINACIÓN.</w:t>
      </w:r>
      <w:bookmarkEnd w:id="15"/>
    </w:p>
    <w:p w:rsidR="00D8263E" w:rsidRPr="00D8263E" w:rsidRDefault="00D8263E" w:rsidP="00D8263E">
      <w:pPr>
        <w:spacing w:after="0" w:line="240" w:lineRule="auto"/>
        <w:jc w:val="both"/>
        <w:rPr>
          <w:rFonts w:ascii="Arial" w:hAnsi="Arial" w:cs="Arial"/>
          <w:color w:val="auto"/>
        </w:rPr>
      </w:pP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De conformidad con el artículo 4o., último párrafo, de la Constitución Política de los Estados Unidos Mexicanos, en nuestro país el derecho a la cultura física y a la práctica del deporte se considera un derecho humano, por lo cual, toda persona puede ejercerlo sin discriminación de ningún tipo y debe ser respetado, protegido y garantizado. Aunado a que al estar plenamente reconocido, debe dejar de ser visto como parte integrante del derecho a la salud o a la educación, para ser concebido como un derecho humano específico, interrelacionado e interdependiente de éstos, por constituir un instrumento para la adaptación del individuo al medio en que vive, así como un mecanismo facilitador en su proceso de crecimiento y formación integral, una herramienta capaz de impulsar las bases de la comunicación y las relaciones interpersonales, como factor de equilibrio y autorrealización; de ahí que en la práctica deportiva deben observarse bases éticas, en pro de la dignidad, integridad, igualdad y no discriminación.</w:t>
      </w:r>
    </w:p>
    <w:p w:rsidR="00D8263E" w:rsidRPr="00D8263E" w:rsidRDefault="00D8263E" w:rsidP="00D8263E">
      <w:pPr>
        <w:spacing w:after="0" w:line="240" w:lineRule="auto"/>
        <w:jc w:val="both"/>
        <w:rPr>
          <w:rFonts w:ascii="Arial" w:hAnsi="Arial" w:cs="Arial"/>
          <w:color w:val="auto"/>
        </w:rPr>
      </w:pP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SEGUNDO TRIBUNAL COLEGIADO EN MATERIAS CIVIL Y DE TRABAJO DEL DÉCIMO SÉPTIMO CIRCUITO.</w:t>
      </w:r>
    </w:p>
    <w:p w:rsidR="00D8263E" w:rsidRPr="00D8263E" w:rsidRDefault="00D8263E" w:rsidP="00D8263E">
      <w:pPr>
        <w:spacing w:after="0" w:line="240" w:lineRule="auto"/>
        <w:jc w:val="both"/>
        <w:rPr>
          <w:rFonts w:ascii="Arial" w:hAnsi="Arial" w:cs="Arial"/>
          <w:color w:val="auto"/>
        </w:rPr>
      </w:pPr>
    </w:p>
    <w:p w:rsidR="00D8263E" w:rsidRPr="00D8263E" w:rsidRDefault="00D8263E" w:rsidP="00D8263E">
      <w:pPr>
        <w:spacing w:after="0" w:line="240" w:lineRule="auto"/>
        <w:jc w:val="both"/>
        <w:rPr>
          <w:rFonts w:ascii="Arial" w:hAnsi="Arial" w:cs="Arial"/>
          <w:color w:val="auto"/>
        </w:rPr>
      </w:pPr>
      <w:r w:rsidRPr="00D8263E">
        <w:rPr>
          <w:rFonts w:ascii="Arial" w:hAnsi="Arial" w:cs="Arial"/>
          <w:color w:val="auto"/>
        </w:rPr>
        <w:t xml:space="preserve">Amparo directo 982/2018. Gabriel Valenzuela Ramírez y otro. 13 de junio de 2019. Unanimidad de votos. Ponente: Cuauhtémoc Cuéllar De Luna. Secretaria: </w:t>
      </w:r>
      <w:proofErr w:type="spellStart"/>
      <w:r w:rsidRPr="00D8263E">
        <w:rPr>
          <w:rFonts w:ascii="Arial" w:hAnsi="Arial" w:cs="Arial"/>
          <w:color w:val="auto"/>
        </w:rPr>
        <w:t>Marissa</w:t>
      </w:r>
      <w:proofErr w:type="spellEnd"/>
      <w:r w:rsidRPr="00D8263E">
        <w:rPr>
          <w:rFonts w:ascii="Arial" w:hAnsi="Arial" w:cs="Arial"/>
          <w:color w:val="auto"/>
        </w:rPr>
        <w:t xml:space="preserve"> Alejandra Chávez Sánchez.</w:t>
      </w:r>
    </w:p>
    <w:p w:rsidR="00D8263E" w:rsidRPr="00D8263E" w:rsidRDefault="00D8263E" w:rsidP="00D8263E">
      <w:pPr>
        <w:spacing w:after="0" w:line="240" w:lineRule="auto"/>
        <w:jc w:val="both"/>
        <w:rPr>
          <w:rFonts w:ascii="Arial" w:hAnsi="Arial" w:cs="Arial"/>
          <w:color w:val="auto"/>
        </w:rPr>
      </w:pPr>
    </w:p>
    <w:p w:rsidR="00F450B5" w:rsidRDefault="00F450B5" w:rsidP="00A54A0F">
      <w:pPr>
        <w:spacing w:after="0" w:line="240" w:lineRule="auto"/>
        <w:jc w:val="both"/>
        <w:rPr>
          <w:rFonts w:ascii="Arial" w:hAnsi="Arial" w:cs="Arial"/>
          <w:color w:val="auto"/>
        </w:rPr>
      </w:pPr>
    </w:p>
    <w:p w:rsidR="00F41650" w:rsidRPr="00F41650" w:rsidRDefault="00267387" w:rsidP="00F41650">
      <w:pPr>
        <w:spacing w:after="0" w:line="240" w:lineRule="auto"/>
        <w:jc w:val="both"/>
        <w:rPr>
          <w:rFonts w:ascii="Arial" w:hAnsi="Arial" w:cs="Arial"/>
          <w:color w:val="auto"/>
        </w:rPr>
      </w:pPr>
      <w:r>
        <w:rPr>
          <w:rFonts w:ascii="Arial" w:hAnsi="Arial" w:cs="Arial"/>
          <w:color w:val="auto"/>
        </w:rPr>
        <w:t xml:space="preserve">15. </w:t>
      </w:r>
      <w:r w:rsidR="00F41650" w:rsidRPr="00F41650">
        <w:rPr>
          <w:rFonts w:ascii="Arial" w:hAnsi="Arial" w:cs="Arial"/>
          <w:color w:val="auto"/>
        </w:rPr>
        <w:t xml:space="preserve">Época: Décima Época </w:t>
      </w: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t xml:space="preserve">Registro: 2021408 </w:t>
      </w: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lastRenderedPageBreak/>
        <w:t xml:space="preserve">Instancia: Tribunales Colegiados de Circuito </w:t>
      </w: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t xml:space="preserve">Tipo de Tesis: Aislada </w:t>
      </w: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t xml:space="preserve">Fuente: Semanario Judicial de la Federación </w:t>
      </w: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t xml:space="preserve">Publicación: viernes 17 de enero de 2020 10:18 h </w:t>
      </w: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t xml:space="preserve">Materia(s): (Constitucional) </w:t>
      </w: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t xml:space="preserve">Tesis: XVII.2o.C.T.2 CS (10a.) </w:t>
      </w:r>
    </w:p>
    <w:p w:rsidR="00F41650" w:rsidRPr="00F41650" w:rsidRDefault="00F41650" w:rsidP="00F41650">
      <w:pPr>
        <w:spacing w:after="0" w:line="240" w:lineRule="auto"/>
        <w:jc w:val="both"/>
        <w:rPr>
          <w:rFonts w:ascii="Arial" w:hAnsi="Arial" w:cs="Arial"/>
          <w:color w:val="auto"/>
        </w:rPr>
      </w:pPr>
    </w:p>
    <w:p w:rsidR="00F41650" w:rsidRPr="00267387" w:rsidRDefault="00F41650" w:rsidP="00267387">
      <w:pPr>
        <w:pStyle w:val="Ttulo2"/>
        <w:jc w:val="both"/>
        <w:rPr>
          <w:rFonts w:ascii="Arial" w:hAnsi="Arial" w:cs="Arial"/>
          <w:sz w:val="26"/>
          <w:szCs w:val="26"/>
        </w:rPr>
      </w:pPr>
      <w:bookmarkStart w:id="16" w:name="_Toc30597567"/>
      <w:r w:rsidRPr="00267387">
        <w:rPr>
          <w:rFonts w:ascii="Arial" w:hAnsi="Arial" w:cs="Arial"/>
          <w:color w:val="B35E06" w:themeColor="accent1" w:themeShade="BF"/>
          <w:sz w:val="26"/>
          <w:szCs w:val="26"/>
        </w:rPr>
        <w:t>DERECHO HUMANO A LA CULTURA FÍSICA Y A LA PRÁCTICA DEL DEPORTE. CORRESPONDE AL ESTADO VELAR PORQUE SE DESARROLLE CONFORME A LOS PRINCIPIOS CONSTITUCIONALES Y LEGALES.</w:t>
      </w:r>
      <w:bookmarkEnd w:id="16"/>
    </w:p>
    <w:p w:rsidR="00F41650" w:rsidRPr="00F41650" w:rsidRDefault="00F41650" w:rsidP="00F41650">
      <w:pPr>
        <w:spacing w:after="0" w:line="240" w:lineRule="auto"/>
        <w:jc w:val="both"/>
        <w:rPr>
          <w:rFonts w:ascii="Arial" w:hAnsi="Arial" w:cs="Arial"/>
          <w:color w:val="auto"/>
        </w:rPr>
      </w:pP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t xml:space="preserve">La práctica deportiva resulta de interés público y social, por lo que corresponde al Estado no sólo fomentarla, sino velar porque se desarrolle conforme a los principios constitucionales y legales ya que, al tratarse de un derecho humano, surgen tanto obligaciones estatales generales, por imperativo del artículo 1o. de la Constitución Política de los Estados Unidos Mexicanos, como particulares, derivadas de las legislaciones secundarias en materia deportiva; con lo cual se busca la protección del derecho al deporte y su ejercicio en condiciones de igualdad y no discriminación, a través de garantizar el acceso a la práctica y competencia, acorde con los estándares de objetividad, transparencia e imparcialidad, más </w:t>
      </w:r>
      <w:proofErr w:type="spellStart"/>
      <w:r w:rsidRPr="00F41650">
        <w:rPr>
          <w:rFonts w:ascii="Arial" w:hAnsi="Arial" w:cs="Arial"/>
          <w:color w:val="auto"/>
        </w:rPr>
        <w:t>aún</w:t>
      </w:r>
      <w:proofErr w:type="spellEnd"/>
      <w:r w:rsidRPr="00F41650">
        <w:rPr>
          <w:rFonts w:ascii="Arial" w:hAnsi="Arial" w:cs="Arial"/>
          <w:color w:val="auto"/>
        </w:rPr>
        <w:t xml:space="preserve"> tratándose de menores, así como también el Estado debe garantizar la vigencia de los principios de disponibilidad, accesibilidad, aceptabilidad y adaptabilidad, en su ejercicio. Dado que el sistema nacional deportivo supone una organización conformada por entidades públicas y privadas, tanto federales, estatales, como municipales, cuyos objetivos incluyen los procesos de formación, fomento, práctica y competencia, resulta claro que dichos organismos o entes del deporte asociado deben actuar con claridad e imparcialidad y llevar a cabo acciones suficientes para propiciar las condiciones idóneas a fin de crear un ambiente libre de opacidad en los procesos selectivos y competiciones. Deber general que se traduce en otras obligaciones como: garantizar la divulgación y transparencia de los requisitos y condiciones establecidas en las convocatorias correspondientes, establecer de manera clara y detallada las condiciones que habrán de cumplimentarse para el acceso, inscripción, participación y selección, así como los lineamientos o criterios de calificación, puntuación, eliminación, sanciones o, en su caso, desempate, lo que, se reitera, debe ser emitido conforme a los parámetros referidos, con el fin de establecer reglas y acciones claras, conocidas por todos, así como adoptar </w:t>
      </w:r>
      <w:r w:rsidRPr="00F41650">
        <w:rPr>
          <w:rFonts w:ascii="Arial" w:hAnsi="Arial" w:cs="Arial"/>
          <w:color w:val="auto"/>
        </w:rPr>
        <w:lastRenderedPageBreak/>
        <w:t>medidas y acciones afirmativas orientadas a garantizar la igualdad sustantiva de oportunidades y el derecho a la no discriminación en la práctica deportiva.</w:t>
      </w:r>
    </w:p>
    <w:p w:rsidR="00F41650" w:rsidRPr="00F41650" w:rsidRDefault="00F41650" w:rsidP="00F41650">
      <w:pPr>
        <w:spacing w:after="0" w:line="240" w:lineRule="auto"/>
        <w:jc w:val="both"/>
        <w:rPr>
          <w:rFonts w:ascii="Arial" w:hAnsi="Arial" w:cs="Arial"/>
          <w:color w:val="auto"/>
        </w:rPr>
      </w:pP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t>SEGUNDO TRIBUNAL COLEGIADO EN MATERIAS CIVIL Y DE TRABAJO DEL DÉCIMO SÉPTIMO CIRCUITO.</w:t>
      </w:r>
    </w:p>
    <w:p w:rsidR="00F41650" w:rsidRPr="00F41650" w:rsidRDefault="00F41650" w:rsidP="00F41650">
      <w:pPr>
        <w:spacing w:after="0" w:line="240" w:lineRule="auto"/>
        <w:jc w:val="both"/>
        <w:rPr>
          <w:rFonts w:ascii="Arial" w:hAnsi="Arial" w:cs="Arial"/>
          <w:color w:val="auto"/>
        </w:rPr>
      </w:pPr>
    </w:p>
    <w:p w:rsidR="00F41650" w:rsidRPr="00F41650" w:rsidRDefault="00F41650" w:rsidP="00F41650">
      <w:pPr>
        <w:spacing w:after="0" w:line="240" w:lineRule="auto"/>
        <w:jc w:val="both"/>
        <w:rPr>
          <w:rFonts w:ascii="Arial" w:hAnsi="Arial" w:cs="Arial"/>
          <w:color w:val="auto"/>
        </w:rPr>
      </w:pPr>
      <w:r w:rsidRPr="00F41650">
        <w:rPr>
          <w:rFonts w:ascii="Arial" w:hAnsi="Arial" w:cs="Arial"/>
          <w:color w:val="auto"/>
        </w:rPr>
        <w:t xml:space="preserve">Amparo directo 982/2018. Gabriel Valenzuela Ramírez y otro. 13 de junio de 2019. Unanimidad de votos. Ponente: Cuauhtémoc Cuéllar De Luna. Secretaria: </w:t>
      </w:r>
      <w:proofErr w:type="spellStart"/>
      <w:r w:rsidRPr="00F41650">
        <w:rPr>
          <w:rFonts w:ascii="Arial" w:hAnsi="Arial" w:cs="Arial"/>
          <w:color w:val="auto"/>
        </w:rPr>
        <w:t>Marissa</w:t>
      </w:r>
      <w:proofErr w:type="spellEnd"/>
      <w:r w:rsidRPr="00F41650">
        <w:rPr>
          <w:rFonts w:ascii="Arial" w:hAnsi="Arial" w:cs="Arial"/>
          <w:color w:val="auto"/>
        </w:rPr>
        <w:t xml:space="preserve"> Alejandra Chávez Sánchez.</w:t>
      </w:r>
    </w:p>
    <w:p w:rsidR="00F41650" w:rsidRPr="00F41650" w:rsidRDefault="00F41650" w:rsidP="00F41650">
      <w:pPr>
        <w:spacing w:after="0" w:line="240" w:lineRule="auto"/>
        <w:jc w:val="both"/>
        <w:rPr>
          <w:rFonts w:ascii="Arial" w:hAnsi="Arial" w:cs="Arial"/>
          <w:color w:val="auto"/>
        </w:rPr>
      </w:pPr>
    </w:p>
    <w:p w:rsidR="001875AD" w:rsidRDefault="001875AD" w:rsidP="002B7179">
      <w:pPr>
        <w:spacing w:after="0" w:line="240" w:lineRule="auto"/>
        <w:jc w:val="both"/>
        <w:rPr>
          <w:rFonts w:ascii="Arial" w:hAnsi="Arial" w:cs="Arial"/>
          <w:color w:val="auto"/>
        </w:rPr>
      </w:pPr>
    </w:p>
    <w:p w:rsidR="002B7179" w:rsidRPr="002B7179" w:rsidRDefault="001875AD" w:rsidP="002B7179">
      <w:pPr>
        <w:spacing w:after="0" w:line="240" w:lineRule="auto"/>
        <w:jc w:val="both"/>
        <w:rPr>
          <w:rFonts w:ascii="Arial" w:hAnsi="Arial" w:cs="Arial"/>
          <w:color w:val="auto"/>
        </w:rPr>
      </w:pPr>
      <w:r>
        <w:rPr>
          <w:rFonts w:ascii="Arial" w:hAnsi="Arial" w:cs="Arial"/>
          <w:color w:val="auto"/>
        </w:rPr>
        <w:t xml:space="preserve">16. </w:t>
      </w:r>
      <w:r w:rsidR="002B7179" w:rsidRPr="002B7179">
        <w:rPr>
          <w:rFonts w:ascii="Arial" w:hAnsi="Arial" w:cs="Arial"/>
          <w:color w:val="auto"/>
        </w:rPr>
        <w:t xml:space="preserve">Época: Décima Época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Registro: 2021405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Instancia: Tribunales Colegiados de Circuito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Tipo de Tesis: Aislada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Fuente: Semanario Judicial de la Federación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Publicación: viernes 17 de enero de 2020 10:18 h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Materia(s): (Constitucional, Civil)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Tesis: I.3o.C.361 C (10a.) </w:t>
      </w:r>
    </w:p>
    <w:p w:rsidR="002B7179" w:rsidRPr="002B7179" w:rsidRDefault="002B7179" w:rsidP="002B7179">
      <w:pPr>
        <w:spacing w:after="0" w:line="240" w:lineRule="auto"/>
        <w:jc w:val="both"/>
        <w:rPr>
          <w:rFonts w:ascii="Arial" w:hAnsi="Arial" w:cs="Arial"/>
          <w:color w:val="auto"/>
        </w:rPr>
      </w:pPr>
    </w:p>
    <w:p w:rsidR="002B7179" w:rsidRPr="001875AD" w:rsidRDefault="002B7179" w:rsidP="001875AD">
      <w:pPr>
        <w:pStyle w:val="Ttulo2"/>
        <w:jc w:val="both"/>
        <w:rPr>
          <w:rFonts w:ascii="Arial" w:hAnsi="Arial" w:cs="Arial"/>
          <w:sz w:val="26"/>
          <w:szCs w:val="26"/>
        </w:rPr>
      </w:pPr>
      <w:bookmarkStart w:id="17" w:name="_Toc30597568"/>
      <w:r w:rsidRPr="001875AD">
        <w:rPr>
          <w:rFonts w:ascii="Arial" w:hAnsi="Arial" w:cs="Arial"/>
          <w:color w:val="B35E06" w:themeColor="accent1" w:themeShade="BF"/>
          <w:sz w:val="26"/>
          <w:szCs w:val="26"/>
        </w:rPr>
        <w:t>CADUCIDAD DE LA INSTANCIA O PERENCIÓN. LA FRACCIÓN IV DEL ARTÍCULO 373 DEL CÓDIGO FEDERAL DE PROCEDIMIENTOS CIVILES, PARA SER CONFORME CON EL ARTÍCULO 17 DE LA CONSTITUCIÓN FEDERAL, EN CUANTO AL DERECHO A LA TUTELA JURISDICCIONAL EFECTIVA –EN SU VERTIENTE DE ACCESO A LA JUSTICIA–, DEBE INTERPRETARSE EN EL SENTIDO DE QUE EL ÓRGANO JURISDICCIONAL, PREVIO A LA CONCLUSIÓN DEL LAPSO AHÍ ESTABLECIDO, DEBERÁ PREVENIR AL INTERESADO PARA QUE EN UN PLAZO QUE CONSIDERE PRUDENTE CUMPLA CON SU CARGA PROCESAL, CON EL APERCIBIMIENTO DE QUE, EN CASO DE INCUMPLIMIENTO, SE DECRETARÁ AQUÉLLA.</w:t>
      </w:r>
      <w:r w:rsidR="001875AD">
        <w:rPr>
          <w:rStyle w:val="Refdenotaalpie"/>
          <w:rFonts w:ascii="Arial" w:hAnsi="Arial" w:cs="Arial"/>
          <w:color w:val="B35E06" w:themeColor="accent1" w:themeShade="BF"/>
          <w:sz w:val="26"/>
          <w:szCs w:val="26"/>
        </w:rPr>
        <w:footnoteReference w:id="8"/>
      </w:r>
      <w:bookmarkEnd w:id="17"/>
    </w:p>
    <w:p w:rsidR="002B7179" w:rsidRPr="002B7179" w:rsidRDefault="002B7179" w:rsidP="002B7179">
      <w:pPr>
        <w:spacing w:after="0" w:line="240" w:lineRule="auto"/>
        <w:jc w:val="both"/>
        <w:rPr>
          <w:rFonts w:ascii="Arial" w:hAnsi="Arial" w:cs="Arial"/>
          <w:color w:val="auto"/>
        </w:rPr>
      </w:pP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lastRenderedPageBreak/>
        <w:t xml:space="preserve">Desde la óptica de ese derecho fundamental, es posible interpretar el primer precepto conforme a la Constitución Federal, con miras a realizar una función integradora de la norma. Acorde con esa interpretación, que se nutre de la experiencia colombiana (perención/derogatoria de la perención/desistimiento tácito), la fracción IV del artículo 373 del Código Federal de Procedimientos Civiles, para ser conforme con el artículo 17 de la Constitución Política de los Estados Unidos Mexicanos –tutela jurisdiccional efectiva, en su vertiente de acceso a la justicia–, debe interpretarse en el sentido de que en el caso de que el órgano jurisdiccional, no obstante sus facultades y deberes como director del proceso, no pueda por sí mismo adelantarlo, por estar pendiente de cumplirse una carga procesal, previo a la conclusión del lapso ahí establecido, deberá prevenir al interesado para que la satisfaga dentro de un plazo que considere prudente, con el apercibimiento de que, en caso de incumplimiento, se decretará la caducidad de la instancia o perención. En dicha prevención, deberá comunicarse al incumplido que, si posteriormente su apatía paraliza el proceso, la caducidad de la instancia operará en los términos literales del precepto y su conducta procesal se tendrá como un abuso de derecho, con las consecuencias jurídicas que ello pueda acarrear, tanto para el litigante como para el abogado. Con esta interpretación el proceso no terminará inadvertidamente, ni será consecuencia del simple olvido, sino de la desobediencia del incumplido. De igual forma no será manipulable por el demandante, pues la falta de cumplimiento de su carga procesal, es decir, de impulso, creará la sospecha de una mala fe, lo que se tomará en cuenta en lo subsecuente. Por último, no tomará por sorpresa al afectado, para el caso de que su olvido no sea de mala fe, por lo que sólo de esta manera en la caducidad de la instancia o perención se respeta el acceso a la justicia pues, aunque supone una limitación, ésta es razonable, proporcional e idónea en los términos referidos por la Corte Constitucional de Colombia, que en general –aunque no específicamente respecto de la institución procesal en comento–, son compatibles con la visión que nuestro Tribunal Supremo tiene sobre dicho derecho fundamental; interpretación que parte de bases y consideraciones diversas a las que hasta ahora ha sustentado la Suprema Corte de Justicia de la Nación, para considerar que dicha institución procesal no vulnera el acceso a la justicia, porque aquí se tiene en cuenta: a) el papel que desempeña el juzgador, como director del proceso; b) la prevalencia del derecho sustantivo sobre el adjetivo –paradigma recién incorporado al artículo 17 constitucional– y, muy importante c) la experiencia comparada, que permite apreciar de una manera muy clara que la satisfacción del derecho fundamental en cita se encuentra a la mitad de dos posiciones que la historia mostró irreconciliables y que trajeron aparejadas consecuencias negativas al proceso, a saber, la perención (tesis) y su eliminación total (antítesis), </w:t>
      </w:r>
      <w:r w:rsidRPr="002B7179">
        <w:rPr>
          <w:rFonts w:ascii="Arial" w:hAnsi="Arial" w:cs="Arial"/>
          <w:color w:val="auto"/>
        </w:rPr>
        <w:lastRenderedPageBreak/>
        <w:t>manifiesto proceso dialéctico del que resultó el desistimiento tácito (síntesis). La reciente reforma al artículo 17 constitucional citado (prevalencia de lo sustantivo sobre lo procesal), constituye el signo más evidente de que nuestro país transita por circunstancias diversas a las que en su momento (política judicial de descongestionamiento), llevaron a los órganos de control constitucional a defender y blindar la perención.</w:t>
      </w:r>
    </w:p>
    <w:p w:rsidR="002B7179" w:rsidRPr="002B7179" w:rsidRDefault="002B7179" w:rsidP="002B7179">
      <w:pPr>
        <w:spacing w:after="0" w:line="240" w:lineRule="auto"/>
        <w:jc w:val="both"/>
        <w:rPr>
          <w:rFonts w:ascii="Arial" w:hAnsi="Arial" w:cs="Arial"/>
          <w:color w:val="auto"/>
        </w:rPr>
      </w:pP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TERCER TRIBUNAL COLEGIADO EN MATERIA CIVIL DEL PRIMER CIRCUITO.</w:t>
      </w:r>
    </w:p>
    <w:p w:rsidR="002B7179" w:rsidRPr="002B7179" w:rsidRDefault="002B7179" w:rsidP="002B7179">
      <w:pPr>
        <w:spacing w:after="0" w:line="240" w:lineRule="auto"/>
        <w:jc w:val="both"/>
        <w:rPr>
          <w:rFonts w:ascii="Arial" w:hAnsi="Arial" w:cs="Arial"/>
          <w:color w:val="auto"/>
        </w:rPr>
      </w:pP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Amparo directo 403/2018. 20 de junio de 2018. Mayoría de votos. Disidente y Ponente: Carlos Ortiz Toro, secretario de tribunal autorizado por la Comisión de Carrera Judicial del Consejo de la Judicatura Federal para desempeñar las funciones de Magistrado, en términos del artículo 81, fracción XXII, de la Ley Orgánica del Poder Judicial de la Federación. Encargado del engrose: Víctor Francisco Mota Cienfuegos. Secretario: </w:t>
      </w:r>
      <w:proofErr w:type="spellStart"/>
      <w:r w:rsidRPr="002B7179">
        <w:rPr>
          <w:rFonts w:ascii="Arial" w:hAnsi="Arial" w:cs="Arial"/>
          <w:color w:val="auto"/>
        </w:rPr>
        <w:t>Karlo</w:t>
      </w:r>
      <w:proofErr w:type="spellEnd"/>
      <w:r w:rsidRPr="002B7179">
        <w:rPr>
          <w:rFonts w:ascii="Arial" w:hAnsi="Arial" w:cs="Arial"/>
          <w:color w:val="auto"/>
        </w:rPr>
        <w:t xml:space="preserve"> Iván González Camacho.</w:t>
      </w:r>
    </w:p>
    <w:p w:rsidR="002B7179" w:rsidRPr="002B7179" w:rsidRDefault="002B7179" w:rsidP="002B7179">
      <w:pPr>
        <w:spacing w:after="0" w:line="240" w:lineRule="auto"/>
        <w:jc w:val="both"/>
        <w:rPr>
          <w:rFonts w:ascii="Arial" w:hAnsi="Arial" w:cs="Arial"/>
          <w:color w:val="auto"/>
        </w:rPr>
      </w:pPr>
    </w:p>
    <w:p w:rsidR="002B7179" w:rsidRDefault="002B7179" w:rsidP="00A54A0F">
      <w:pPr>
        <w:spacing w:after="0" w:line="240" w:lineRule="auto"/>
        <w:jc w:val="both"/>
        <w:rPr>
          <w:rFonts w:ascii="Arial" w:hAnsi="Arial" w:cs="Arial"/>
          <w:color w:val="auto"/>
        </w:rPr>
      </w:pPr>
    </w:p>
    <w:p w:rsidR="002B7179" w:rsidRPr="002B7179" w:rsidRDefault="008A6BC2" w:rsidP="002B7179">
      <w:pPr>
        <w:spacing w:after="0" w:line="240" w:lineRule="auto"/>
        <w:jc w:val="both"/>
        <w:rPr>
          <w:rFonts w:ascii="Arial" w:hAnsi="Arial" w:cs="Arial"/>
          <w:color w:val="auto"/>
        </w:rPr>
      </w:pPr>
      <w:r>
        <w:rPr>
          <w:rFonts w:ascii="Arial" w:hAnsi="Arial" w:cs="Arial"/>
          <w:color w:val="auto"/>
        </w:rPr>
        <w:t xml:space="preserve">17. </w:t>
      </w:r>
      <w:r w:rsidR="002B7179" w:rsidRPr="002B7179">
        <w:rPr>
          <w:rFonts w:ascii="Arial" w:hAnsi="Arial" w:cs="Arial"/>
          <w:color w:val="auto"/>
        </w:rPr>
        <w:t xml:space="preserve">Época: Décima Época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Registro: 2021399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Instancia: Tribunales Colegiados de Circuito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Tipo de Tesis: Aislada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Fuente: Semanario Judicial de la Federación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Publicación: viernes 17 de enero de 2020 10:18 h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Materia(s): (Común) </w:t>
      </w: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Tesis: I.12o.C.35 K (10a.) </w:t>
      </w:r>
    </w:p>
    <w:p w:rsidR="002B7179" w:rsidRPr="002B7179" w:rsidRDefault="002B7179" w:rsidP="002B7179">
      <w:pPr>
        <w:spacing w:after="0" w:line="240" w:lineRule="auto"/>
        <w:jc w:val="both"/>
        <w:rPr>
          <w:rFonts w:ascii="Arial" w:hAnsi="Arial" w:cs="Arial"/>
          <w:color w:val="auto"/>
        </w:rPr>
      </w:pPr>
    </w:p>
    <w:p w:rsidR="002B7179" w:rsidRPr="008A6BC2" w:rsidRDefault="002B7179" w:rsidP="008A6BC2">
      <w:pPr>
        <w:pStyle w:val="Ttulo2"/>
        <w:jc w:val="both"/>
        <w:rPr>
          <w:rFonts w:ascii="Arial" w:hAnsi="Arial" w:cs="Arial"/>
          <w:sz w:val="26"/>
          <w:szCs w:val="26"/>
        </w:rPr>
      </w:pPr>
      <w:bookmarkStart w:id="18" w:name="_Toc30597569"/>
      <w:r w:rsidRPr="008A6BC2">
        <w:rPr>
          <w:rFonts w:ascii="Arial" w:hAnsi="Arial" w:cs="Arial"/>
          <w:color w:val="B35E06" w:themeColor="accent1" w:themeShade="BF"/>
          <w:sz w:val="26"/>
          <w:szCs w:val="26"/>
        </w:rPr>
        <w:t>AMPARO ADHESIVO. EL TERCERO INTERESADO CARECE DE LEGITIMACIÓN PARA PROMOVERLO, SI LA SENTENCIA DEFINITIVA, LAUDO O RESOLUCIÓN RECLAMADA RESULTA DE ALGÚN MODO ADVERSA A SUS INTERESES.</w:t>
      </w:r>
      <w:bookmarkEnd w:id="18"/>
    </w:p>
    <w:p w:rsidR="002B7179" w:rsidRPr="002B7179" w:rsidRDefault="002B7179" w:rsidP="002B7179">
      <w:pPr>
        <w:spacing w:after="0" w:line="240" w:lineRule="auto"/>
        <w:jc w:val="both"/>
        <w:rPr>
          <w:rFonts w:ascii="Arial" w:hAnsi="Arial" w:cs="Arial"/>
          <w:color w:val="auto"/>
        </w:rPr>
      </w:pP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El artículo 182 de la Ley de Amparo establece la figura del amparo adhesivo, que sigue la suerte procesal del principal y puede ser promovido por la parte que haya obtenido sentencia favorable, así como por la que tenga interés jurídico en que el acto reclamado subsista; además, limita su procedencia a los casos siguientes: I) cuando el adherente trate de fortalecer las consideraciones vertidas en el fallo impugnado, con la finalidad de no quedar indefenso al resolverse el amparo principal; y, II) cuando existan violaciones al procedimiento que pudieran afectar </w:t>
      </w:r>
      <w:r w:rsidRPr="002B7179">
        <w:rPr>
          <w:rFonts w:ascii="Arial" w:hAnsi="Arial" w:cs="Arial"/>
          <w:color w:val="auto"/>
        </w:rPr>
        <w:lastRenderedPageBreak/>
        <w:t>sus defensas, trascendiendo al resultado del fallo; asimismo, prevé que los conceptos de violación deben estar encaminados a fortalecer las consideraciones que le favorecen –a fin de que adquieran mayor fuerza persuasiva– o a controvertir las que concluyen en un punto decisorio que le perjudica, debiendo hacer valer también las violaciones procesales enunciadas, so pena de preclusión del derecho a alegarlas con posterioridad. En consecuencia, la legitimación para promover el amparo adhesivo la tiene quien es parte tanto en la contienda natural, en la cual obtuvo sentencia favorable, como en el juicio de amparo principal y que, además, tiene interés jurídico en que subsista el acto reclamado; luego, si la sentencia definitiva, laudo o resolución reclamada resulta de algún modo adversa a los intereses del tercero interesado, éste se encuentra vinculado a promover amparo principal y, por ende, carece de legitimación para instar el adhesivo, el cual debe estimarse improcedente, con fundamento en el artículo 61, fracción XXIII, en relación con el 182, ambos de la ley de la materia.</w:t>
      </w:r>
    </w:p>
    <w:p w:rsidR="002B7179" w:rsidRPr="002B7179" w:rsidRDefault="002B7179" w:rsidP="002B7179">
      <w:pPr>
        <w:spacing w:after="0" w:line="240" w:lineRule="auto"/>
        <w:jc w:val="both"/>
        <w:rPr>
          <w:rFonts w:ascii="Arial" w:hAnsi="Arial" w:cs="Arial"/>
          <w:color w:val="auto"/>
        </w:rPr>
      </w:pP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DÉCIMO SEGUNDO TRIBUNAL COLEGIADO EN MATERIA CIVIL DEL PRIMER CIRCUITO.</w:t>
      </w:r>
    </w:p>
    <w:p w:rsidR="002B7179" w:rsidRPr="002B7179" w:rsidRDefault="002B7179" w:rsidP="002B7179">
      <w:pPr>
        <w:spacing w:after="0" w:line="240" w:lineRule="auto"/>
        <w:jc w:val="both"/>
        <w:rPr>
          <w:rFonts w:ascii="Arial" w:hAnsi="Arial" w:cs="Arial"/>
          <w:color w:val="auto"/>
        </w:rPr>
      </w:pPr>
    </w:p>
    <w:p w:rsidR="002B7179" w:rsidRPr="002B7179" w:rsidRDefault="002B7179" w:rsidP="002B7179">
      <w:pPr>
        <w:spacing w:after="0" w:line="240" w:lineRule="auto"/>
        <w:jc w:val="both"/>
        <w:rPr>
          <w:rFonts w:ascii="Arial" w:hAnsi="Arial" w:cs="Arial"/>
          <w:color w:val="auto"/>
        </w:rPr>
      </w:pPr>
      <w:r w:rsidRPr="002B7179">
        <w:rPr>
          <w:rFonts w:ascii="Arial" w:hAnsi="Arial" w:cs="Arial"/>
          <w:color w:val="auto"/>
        </w:rPr>
        <w:t xml:space="preserve">Amparo directo 929/2018. Dante Espinoza Aguilar. 9 de mayo de 2019. Unanimidad de votos. Ponente: Rómulo Amadeo Figueroa </w:t>
      </w:r>
      <w:proofErr w:type="spellStart"/>
      <w:r w:rsidRPr="002B7179">
        <w:rPr>
          <w:rFonts w:ascii="Arial" w:hAnsi="Arial" w:cs="Arial"/>
          <w:color w:val="auto"/>
        </w:rPr>
        <w:t>Salmorán</w:t>
      </w:r>
      <w:proofErr w:type="spellEnd"/>
      <w:r w:rsidRPr="002B7179">
        <w:rPr>
          <w:rFonts w:ascii="Arial" w:hAnsi="Arial" w:cs="Arial"/>
          <w:color w:val="auto"/>
        </w:rPr>
        <w:t>. Secretaria: Nancy Michelle Álvarez Díaz Barriga.</w:t>
      </w:r>
    </w:p>
    <w:p w:rsidR="002B7179" w:rsidRPr="002B7179" w:rsidRDefault="002B7179" w:rsidP="002B7179">
      <w:pPr>
        <w:spacing w:after="0" w:line="240" w:lineRule="auto"/>
        <w:jc w:val="both"/>
        <w:rPr>
          <w:rFonts w:ascii="Arial" w:hAnsi="Arial" w:cs="Arial"/>
          <w:color w:val="auto"/>
        </w:rPr>
      </w:pPr>
    </w:p>
    <w:p w:rsidR="00EB1588" w:rsidRPr="008A6BC2" w:rsidRDefault="00EB1588" w:rsidP="00EB1588">
      <w:pPr>
        <w:pStyle w:val="Ttulo1"/>
        <w:numPr>
          <w:ilvl w:val="0"/>
          <w:numId w:val="7"/>
        </w:numPr>
        <w:spacing w:line="360" w:lineRule="auto"/>
        <w:ind w:left="432" w:hanging="432"/>
        <w:jc w:val="center"/>
        <w:rPr>
          <w:rFonts w:ascii="Arial" w:hAnsi="Arial" w:cs="Arial"/>
          <w:color w:val="B35E06" w:themeColor="accent1" w:themeShade="BF"/>
          <w:sz w:val="36"/>
          <w:szCs w:val="36"/>
        </w:rPr>
      </w:pPr>
      <w:bookmarkStart w:id="19" w:name="_Toc22039258"/>
      <w:bookmarkStart w:id="20" w:name="_Toc5371743"/>
      <w:bookmarkStart w:id="21" w:name="_Toc5263202"/>
      <w:bookmarkStart w:id="22" w:name="_Toc5180179"/>
      <w:bookmarkStart w:id="23" w:name="_Toc1380861"/>
      <w:bookmarkStart w:id="24" w:name="_Toc779016"/>
      <w:bookmarkStart w:id="25" w:name="_Toc536439466"/>
      <w:bookmarkStart w:id="26" w:name="_Toc535924787"/>
      <w:bookmarkStart w:id="27" w:name="_Toc338652"/>
      <w:bookmarkStart w:id="28" w:name="_Toc1379638"/>
      <w:bookmarkStart w:id="29" w:name="_Toc2071030"/>
      <w:bookmarkStart w:id="30" w:name="_Toc11316582"/>
      <w:bookmarkStart w:id="31" w:name="_Toc13479248"/>
      <w:bookmarkStart w:id="32" w:name="_Toc13479882"/>
      <w:bookmarkStart w:id="33" w:name="_Toc13480931"/>
      <w:bookmarkStart w:id="34" w:name="_Toc15894289"/>
      <w:bookmarkStart w:id="35" w:name="_Toc15988715"/>
      <w:bookmarkStart w:id="36" w:name="_Toc16507517"/>
      <w:bookmarkStart w:id="37" w:name="_Toc21951268"/>
      <w:bookmarkStart w:id="38" w:name="_Toc21956617"/>
      <w:bookmarkStart w:id="39" w:name="_Toc21957333"/>
      <w:bookmarkStart w:id="40" w:name="_Toc22037644"/>
      <w:bookmarkStart w:id="41" w:name="_Toc22042399"/>
      <w:bookmarkStart w:id="42" w:name="_Toc22043913"/>
      <w:bookmarkStart w:id="43" w:name="_Toc30597570"/>
      <w:r w:rsidRPr="008A6BC2">
        <w:rPr>
          <w:rFonts w:ascii="Arial" w:hAnsi="Arial" w:cs="Arial"/>
          <w:color w:val="B35E06" w:themeColor="accent1" w:themeShade="BF"/>
          <w:sz w:val="36"/>
          <w:szCs w:val="36"/>
        </w:rPr>
        <w:t>FUENTES CONSULTADAS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EB1588" w:rsidRDefault="00EB1588" w:rsidP="00EB1588">
      <w:pPr>
        <w:numPr>
          <w:ilvl w:val="0"/>
          <w:numId w:val="6"/>
        </w:numPr>
        <w:spacing w:after="0" w:line="360" w:lineRule="auto"/>
        <w:jc w:val="center"/>
        <w:rPr>
          <w:rFonts w:ascii="Arial" w:hAnsi="Arial" w:cs="Arial"/>
          <w:b/>
          <w:bCs/>
          <w:vanish/>
          <w:color w:val="B35E06" w:themeColor="accent1" w:themeShade="BF"/>
          <w:szCs w:val="24"/>
          <w:lang w:val="es-MX"/>
        </w:rPr>
      </w:pPr>
      <w:bookmarkStart w:id="44" w:name="_Toc536437384"/>
      <w:bookmarkStart w:id="45" w:name="_Toc536437577"/>
      <w:bookmarkStart w:id="46" w:name="_Toc536439344"/>
      <w:bookmarkStart w:id="47" w:name="_Toc536439427"/>
      <w:bookmarkStart w:id="48" w:name="_Toc536439467"/>
      <w:bookmarkStart w:id="49" w:name="_Toc338653"/>
      <w:bookmarkStart w:id="50" w:name="_Toc778876"/>
      <w:bookmarkStart w:id="51" w:name="_Toc779017"/>
      <w:bookmarkStart w:id="52" w:name="_Toc1379639"/>
      <w:bookmarkStart w:id="53" w:name="_Toc1380862"/>
      <w:bookmarkStart w:id="54" w:name="_Toc2071031"/>
      <w:bookmarkStart w:id="55" w:name="_Toc5180102"/>
      <w:bookmarkStart w:id="56" w:name="_Toc5180180"/>
      <w:bookmarkStart w:id="57" w:name="_Toc5262815"/>
      <w:bookmarkStart w:id="58" w:name="_Toc5263076"/>
      <w:bookmarkStart w:id="59" w:name="_Toc5263203"/>
      <w:bookmarkStart w:id="60" w:name="_Toc5263841"/>
      <w:bookmarkStart w:id="61" w:name="_Toc5263889"/>
      <w:bookmarkStart w:id="62" w:name="_Toc5263941"/>
      <w:bookmarkStart w:id="63" w:name="_Toc5273346"/>
      <w:bookmarkStart w:id="64" w:name="_Toc5277921"/>
      <w:bookmarkStart w:id="65" w:name="_Toc5371729"/>
      <w:bookmarkStart w:id="66" w:name="_Toc5371744"/>
      <w:bookmarkStart w:id="67" w:name="_Toc53643946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B1588" w:rsidRDefault="00EB1588" w:rsidP="00EB1588">
      <w:pPr>
        <w:numPr>
          <w:ilvl w:val="0"/>
          <w:numId w:val="6"/>
        </w:numPr>
        <w:spacing w:after="0" w:line="360" w:lineRule="auto"/>
        <w:jc w:val="center"/>
        <w:rPr>
          <w:rFonts w:ascii="Arial" w:hAnsi="Arial" w:cs="Arial"/>
          <w:b/>
          <w:bCs/>
          <w:vanish/>
          <w:color w:val="B35E06" w:themeColor="accent1" w:themeShade="BF"/>
          <w:szCs w:val="24"/>
          <w:lang w:val="es-MX"/>
        </w:rPr>
      </w:pPr>
      <w:bookmarkStart w:id="68" w:name="_Toc338654"/>
      <w:bookmarkStart w:id="69" w:name="_Toc778877"/>
      <w:bookmarkStart w:id="70" w:name="_Toc779018"/>
      <w:bookmarkStart w:id="71" w:name="_Toc1379640"/>
      <w:bookmarkStart w:id="72" w:name="_Toc1380863"/>
      <w:bookmarkStart w:id="73" w:name="_Toc2071032"/>
      <w:bookmarkStart w:id="74" w:name="_Toc5180103"/>
      <w:bookmarkStart w:id="75" w:name="_Toc5180181"/>
      <w:bookmarkStart w:id="76" w:name="_Toc5262816"/>
      <w:bookmarkStart w:id="77" w:name="_Toc5263077"/>
      <w:bookmarkStart w:id="78" w:name="_Toc5263204"/>
      <w:bookmarkStart w:id="79" w:name="_Toc5263842"/>
      <w:bookmarkStart w:id="80" w:name="_Toc5263890"/>
      <w:bookmarkStart w:id="81" w:name="_Toc5263942"/>
      <w:bookmarkStart w:id="82" w:name="_Toc5273347"/>
      <w:bookmarkStart w:id="83" w:name="_Toc5277922"/>
      <w:bookmarkStart w:id="84" w:name="_Toc5371730"/>
      <w:bookmarkStart w:id="85" w:name="_Toc537174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B1588" w:rsidRDefault="00EB1588" w:rsidP="00EB1588">
      <w:pPr>
        <w:pStyle w:val="Ttulo2"/>
        <w:numPr>
          <w:ilvl w:val="1"/>
          <w:numId w:val="7"/>
        </w:numPr>
        <w:spacing w:line="360" w:lineRule="auto"/>
        <w:ind w:left="576" w:hanging="576"/>
        <w:jc w:val="center"/>
        <w:rPr>
          <w:rFonts w:ascii="Arial" w:hAnsi="Arial" w:cs="Arial"/>
          <w:vanish/>
          <w:color w:val="B35E06" w:themeColor="accent1" w:themeShade="BF"/>
        </w:rPr>
      </w:pPr>
      <w:bookmarkStart w:id="86" w:name="_Toc22039259"/>
      <w:bookmarkStart w:id="87" w:name="_Toc5371746"/>
      <w:bookmarkStart w:id="88" w:name="_Toc5263205"/>
      <w:bookmarkStart w:id="89" w:name="_Toc5180182"/>
      <w:bookmarkStart w:id="90" w:name="_Toc1380864"/>
      <w:bookmarkStart w:id="91" w:name="_Toc779019"/>
      <w:bookmarkStart w:id="92" w:name="_Toc338655"/>
      <w:bookmarkStart w:id="93" w:name="_Toc1379641"/>
      <w:bookmarkStart w:id="94" w:name="_Toc2071033"/>
      <w:bookmarkStart w:id="95" w:name="_Toc11316583"/>
      <w:bookmarkStart w:id="96" w:name="_Toc13479249"/>
      <w:bookmarkStart w:id="97" w:name="_Toc13479883"/>
      <w:bookmarkStart w:id="98" w:name="_Toc13480932"/>
      <w:bookmarkStart w:id="99" w:name="_Toc15894290"/>
      <w:bookmarkStart w:id="100" w:name="_Toc15988716"/>
      <w:bookmarkStart w:id="101" w:name="_Toc16507518"/>
      <w:bookmarkStart w:id="102" w:name="_Toc21951269"/>
      <w:bookmarkStart w:id="103" w:name="_Toc21956618"/>
      <w:bookmarkStart w:id="104" w:name="_Toc21957334"/>
      <w:bookmarkStart w:id="105" w:name="_Toc22037645"/>
      <w:bookmarkStart w:id="106" w:name="_Toc22042400"/>
      <w:bookmarkStart w:id="107" w:name="_Toc22043914"/>
      <w:bookmarkStart w:id="108" w:name="_Toc30597571"/>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09" w:name="_Toc524446387"/>
      <w:bookmarkStart w:id="110" w:name="_Toc524519068"/>
      <w:bookmarkStart w:id="111" w:name="_Toc524519163"/>
      <w:bookmarkStart w:id="112" w:name="_Toc524446390"/>
      <w:bookmarkStart w:id="113" w:name="_Toc524519071"/>
      <w:bookmarkStart w:id="114" w:name="_Toc524519166"/>
      <w:bookmarkEnd w:id="6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EB1588" w:rsidRDefault="00EB1588" w:rsidP="00EB1588">
      <w:pPr>
        <w:spacing w:after="0" w:line="360" w:lineRule="auto"/>
        <w:jc w:val="center"/>
        <w:rPr>
          <w:rFonts w:ascii="Arial" w:hAnsi="Arial" w:cs="Arial"/>
          <w:color w:val="B35E06" w:themeColor="accent1" w:themeShade="BF"/>
          <w:szCs w:val="24"/>
        </w:rPr>
      </w:pPr>
      <w:bookmarkStart w:id="115" w:name="_Toc524947297"/>
      <w:bookmarkStart w:id="116" w:name="_Toc525683586"/>
      <w:bookmarkStart w:id="117" w:name="_Toc525686134"/>
      <w:bookmarkStart w:id="118" w:name="_Toc525808260"/>
      <w:bookmarkStart w:id="119" w:name="_Toc525808291"/>
      <w:bookmarkStart w:id="120" w:name="_Toc525808454"/>
      <w:bookmarkStart w:id="121" w:name="_Toc524947298"/>
      <w:bookmarkStart w:id="122" w:name="_Toc525683587"/>
      <w:bookmarkStart w:id="123" w:name="_Toc525686135"/>
      <w:bookmarkStart w:id="124" w:name="_Toc525808261"/>
      <w:bookmarkStart w:id="125" w:name="_Toc525808292"/>
      <w:bookmarkStart w:id="126" w:name="_Toc525808455"/>
      <w:bookmarkStart w:id="127" w:name="_Toc524947299"/>
      <w:bookmarkStart w:id="128" w:name="_Toc525683588"/>
      <w:bookmarkStart w:id="129" w:name="_Toc525686136"/>
      <w:bookmarkStart w:id="130" w:name="_Toc525808262"/>
      <w:bookmarkStart w:id="131" w:name="_Toc525808293"/>
      <w:bookmarkStart w:id="132" w:name="_Toc525808456"/>
      <w:bookmarkStart w:id="133" w:name="_Toc524947300"/>
      <w:bookmarkStart w:id="134" w:name="_Toc525683589"/>
      <w:bookmarkStart w:id="135" w:name="_Toc525808294"/>
      <w:bookmarkStart w:id="136" w:name="_Toc525808457"/>
      <w:bookmarkStart w:id="137" w:name="_Toc53050378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EB1588" w:rsidRDefault="00EB1588" w:rsidP="00EB1588">
      <w:pPr>
        <w:pStyle w:val="Ttulo3"/>
        <w:numPr>
          <w:ilvl w:val="2"/>
          <w:numId w:val="7"/>
        </w:numPr>
        <w:ind w:left="720" w:hanging="720"/>
        <w:jc w:val="center"/>
        <w:rPr>
          <w:rFonts w:ascii="Arial" w:hAnsi="Arial" w:cs="Arial"/>
          <w:b w:val="0"/>
          <w:color w:val="B35E06" w:themeColor="accent1" w:themeShade="BF"/>
        </w:rPr>
      </w:pPr>
      <w:bookmarkStart w:id="138" w:name="_Toc22039260"/>
      <w:bookmarkStart w:id="139" w:name="_Toc5371747"/>
      <w:bookmarkStart w:id="140" w:name="_Toc5263206"/>
      <w:bookmarkStart w:id="141" w:name="_Toc5180183"/>
      <w:bookmarkStart w:id="142" w:name="_Toc1380865"/>
      <w:bookmarkStart w:id="143" w:name="_Toc779020"/>
      <w:bookmarkStart w:id="144" w:name="_Toc536439469"/>
      <w:bookmarkStart w:id="145" w:name="_Toc338656"/>
      <w:bookmarkStart w:id="146" w:name="_Toc1379642"/>
      <w:bookmarkStart w:id="147" w:name="_Toc2071034"/>
      <w:bookmarkStart w:id="148" w:name="_Toc11316584"/>
      <w:bookmarkStart w:id="149" w:name="_Toc13479250"/>
      <w:bookmarkStart w:id="150" w:name="_Toc13479884"/>
      <w:bookmarkStart w:id="151" w:name="_Toc13480933"/>
      <w:bookmarkStart w:id="152" w:name="_Toc15894291"/>
      <w:bookmarkStart w:id="153" w:name="_Toc15988717"/>
      <w:bookmarkStart w:id="154" w:name="_Toc16507519"/>
      <w:bookmarkStart w:id="155" w:name="_Toc21951270"/>
      <w:bookmarkStart w:id="156" w:name="_Toc21956619"/>
      <w:bookmarkStart w:id="157" w:name="_Toc21957335"/>
      <w:bookmarkStart w:id="158" w:name="_Toc22037646"/>
      <w:bookmarkStart w:id="159" w:name="_Toc22042401"/>
      <w:bookmarkStart w:id="160" w:name="_Toc22043915"/>
      <w:bookmarkStart w:id="161" w:name="_Toc30597572"/>
      <w:r>
        <w:rPr>
          <w:rFonts w:ascii="Arial" w:hAnsi="Arial" w:cs="Arial"/>
          <w:b w:val="0"/>
          <w:color w:val="B35E06" w:themeColor="accent1" w:themeShade="BF"/>
        </w:rPr>
        <w:t>SEMANARIO JUDICIAL DE LA FEDERACIÓN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EB1588" w:rsidRDefault="00EB1588" w:rsidP="00EB1588"/>
    <w:p w:rsidR="00EB1588" w:rsidRDefault="00EB1588" w:rsidP="00EB1588">
      <w:pPr>
        <w:spacing w:after="0" w:line="240" w:lineRule="auto"/>
        <w:jc w:val="center"/>
        <w:rPr>
          <w:rFonts w:ascii="Arial" w:hAnsi="Arial" w:cs="Arial"/>
          <w:szCs w:val="24"/>
        </w:rPr>
      </w:pPr>
      <w:bookmarkStart w:id="162" w:name="_Toc525808458"/>
      <w:bookmarkStart w:id="163" w:name="_Toc525808295"/>
      <w:bookmarkStart w:id="164" w:name="_Toc525683590"/>
      <w:bookmarkStart w:id="165" w:name="_Toc524947301"/>
      <w:bookmarkStart w:id="166" w:name="_Toc530503785"/>
      <w:bookmarkEnd w:id="133"/>
      <w:bookmarkEnd w:id="134"/>
      <w:bookmarkEnd w:id="135"/>
      <w:bookmarkEnd w:id="136"/>
      <w:bookmarkEnd w:id="137"/>
      <w:r>
        <w:rPr>
          <w:rFonts w:ascii="Arial" w:hAnsi="Arial" w:cs="Arial"/>
          <w:bCs/>
          <w:szCs w:val="24"/>
        </w:rPr>
        <w:t>(https://sjf.scjn.gob.mx/SJFSem/Paginas/SemanarioV5.aspx</w:t>
      </w:r>
      <w:bookmarkEnd w:id="162"/>
      <w:bookmarkEnd w:id="163"/>
      <w:bookmarkEnd w:id="164"/>
      <w:bookmarkEnd w:id="165"/>
      <w:r>
        <w:rPr>
          <w:rFonts w:ascii="Arial" w:hAnsi="Arial" w:cs="Arial"/>
          <w:bCs/>
          <w:szCs w:val="24"/>
        </w:rPr>
        <w:t>)</w:t>
      </w:r>
      <w:bookmarkEnd w:id="166"/>
    </w:p>
    <w:p w:rsidR="00EB1588" w:rsidRDefault="00EB1588" w:rsidP="00EB1588">
      <w:pPr>
        <w:spacing w:after="0" w:line="240" w:lineRule="auto"/>
        <w:jc w:val="both"/>
        <w:rPr>
          <w:rFonts w:ascii="Arial" w:hAnsi="Arial" w:cs="Arial"/>
          <w:szCs w:val="24"/>
        </w:rPr>
      </w:pPr>
    </w:p>
    <w:p w:rsidR="002B7179" w:rsidRPr="00753D3A" w:rsidRDefault="002B7179" w:rsidP="00A54A0F">
      <w:pPr>
        <w:spacing w:after="0" w:line="240" w:lineRule="auto"/>
        <w:jc w:val="both"/>
        <w:rPr>
          <w:rFonts w:ascii="Arial" w:hAnsi="Arial" w:cs="Arial"/>
          <w:color w:val="auto"/>
        </w:rPr>
      </w:pPr>
    </w:p>
    <w:sectPr w:rsidR="002B7179" w:rsidRPr="00753D3A"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E2" w:rsidRDefault="009274E2">
      <w:pPr>
        <w:spacing w:after="0" w:line="240" w:lineRule="auto"/>
      </w:pPr>
      <w:r>
        <w:separator/>
      </w:r>
    </w:p>
  </w:endnote>
  <w:endnote w:type="continuationSeparator" w:id="0">
    <w:p w:rsidR="009274E2" w:rsidRDefault="0092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D3" w:rsidRDefault="000C3CD3">
    <w:pPr>
      <w:pStyle w:val="Piedepgina"/>
      <w:rPr>
        <w:rFonts w:ascii="Arial" w:hAnsi="Arial" w:cs="Arial"/>
        <w:i/>
        <w:color w:val="664D26" w:themeColor="accent6" w:themeShade="80"/>
        <w:sz w:val="18"/>
        <w:szCs w:val="18"/>
      </w:rPr>
    </w:pPr>
  </w:p>
  <w:p w:rsidR="000C3CD3" w:rsidRDefault="000C3CD3">
    <w:pPr>
      <w:pStyle w:val="Piedepgina"/>
      <w:rPr>
        <w:rFonts w:ascii="Arial" w:hAnsi="Arial" w:cs="Arial"/>
        <w:i/>
        <w:color w:val="664D26" w:themeColor="accent6" w:themeShade="80"/>
        <w:sz w:val="18"/>
        <w:szCs w:val="18"/>
      </w:rPr>
    </w:pPr>
  </w:p>
  <w:p w:rsidR="000C3CD3" w:rsidRDefault="000C3CD3">
    <w:pPr>
      <w:pStyle w:val="Piedepgina"/>
      <w:rPr>
        <w:rFonts w:ascii="Arial" w:hAnsi="Arial" w:cs="Arial"/>
        <w:i/>
        <w:color w:val="664D26" w:themeColor="accent6" w:themeShade="80"/>
        <w:sz w:val="18"/>
        <w:szCs w:val="18"/>
      </w:rPr>
    </w:pPr>
  </w:p>
  <w:p w:rsidR="000C3CD3" w:rsidRDefault="000C3CD3">
    <w:pPr>
      <w:pStyle w:val="Piedepgina"/>
      <w:rPr>
        <w:rFonts w:ascii="Arial" w:hAnsi="Arial" w:cs="Arial"/>
        <w:i/>
        <w:color w:val="664D26" w:themeColor="accent6" w:themeShade="80"/>
        <w:sz w:val="18"/>
        <w:szCs w:val="18"/>
      </w:rPr>
    </w:pPr>
  </w:p>
  <w:p w:rsidR="000C3CD3" w:rsidRPr="00D72CB4" w:rsidRDefault="000C3CD3">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E2" w:rsidRDefault="009274E2">
      <w:pPr>
        <w:spacing w:after="0" w:line="240" w:lineRule="auto"/>
      </w:pPr>
      <w:r>
        <w:separator/>
      </w:r>
    </w:p>
  </w:footnote>
  <w:footnote w:type="continuationSeparator" w:id="0">
    <w:p w:rsidR="009274E2" w:rsidRDefault="009274E2">
      <w:pPr>
        <w:spacing w:after="0" w:line="240" w:lineRule="auto"/>
      </w:pPr>
      <w:r>
        <w:continuationSeparator/>
      </w:r>
    </w:p>
  </w:footnote>
  <w:footnote w:id="1">
    <w:p w:rsidR="000C3CD3" w:rsidRPr="00EB1588" w:rsidRDefault="000C3CD3" w:rsidP="00EB1588">
      <w:pPr>
        <w:spacing w:after="0" w:line="240" w:lineRule="auto"/>
        <w:jc w:val="both"/>
        <w:rPr>
          <w:rFonts w:ascii="Arial" w:hAnsi="Arial" w:cs="Arial"/>
          <w:color w:val="auto"/>
          <w:sz w:val="18"/>
          <w:szCs w:val="18"/>
        </w:rPr>
      </w:pPr>
      <w:r w:rsidRPr="00EB1588">
        <w:rPr>
          <w:rStyle w:val="Refdenotaalpie"/>
          <w:rFonts w:ascii="Arial" w:hAnsi="Arial" w:cs="Arial"/>
          <w:sz w:val="18"/>
          <w:szCs w:val="18"/>
        </w:rPr>
        <w:footnoteRef/>
      </w:r>
      <w:r w:rsidRPr="00EB1588">
        <w:rPr>
          <w:rFonts w:ascii="Arial" w:hAnsi="Arial" w:cs="Arial"/>
          <w:sz w:val="18"/>
          <w:szCs w:val="18"/>
        </w:rPr>
        <w:t xml:space="preserve"> </w:t>
      </w:r>
      <w:r w:rsidRPr="00EB1588">
        <w:rPr>
          <w:rFonts w:ascii="Arial" w:hAnsi="Arial" w:cs="Arial"/>
          <w:color w:val="auto"/>
          <w:sz w:val="18"/>
          <w:szCs w:val="18"/>
        </w:rPr>
        <w:t xml:space="preserve">Esta tesis aparece de igual manera </w:t>
      </w:r>
      <w:proofErr w:type="gramStart"/>
      <w:r w:rsidRPr="00EB1588">
        <w:rPr>
          <w:rFonts w:ascii="Arial" w:hAnsi="Arial" w:cs="Arial"/>
          <w:color w:val="auto"/>
          <w:sz w:val="18"/>
          <w:szCs w:val="18"/>
        </w:rPr>
        <w:t>en ,la</w:t>
      </w:r>
      <w:proofErr w:type="gramEnd"/>
      <w:r w:rsidRPr="00EB1588">
        <w:rPr>
          <w:rFonts w:ascii="Arial" w:hAnsi="Arial" w:cs="Arial"/>
          <w:color w:val="auto"/>
          <w:sz w:val="18"/>
          <w:szCs w:val="18"/>
        </w:rPr>
        <w:t xml:space="preserve"> compilación de tesis en materia penal.</w:t>
      </w:r>
    </w:p>
  </w:footnote>
  <w:footnote w:id="2">
    <w:p w:rsidR="000C3CD3" w:rsidRPr="00EB1588" w:rsidRDefault="000C3CD3" w:rsidP="00EB1588">
      <w:pPr>
        <w:spacing w:after="0" w:line="240" w:lineRule="auto"/>
        <w:jc w:val="both"/>
        <w:rPr>
          <w:rFonts w:ascii="Arial" w:hAnsi="Arial" w:cs="Arial"/>
          <w:color w:val="auto"/>
          <w:sz w:val="18"/>
          <w:szCs w:val="18"/>
        </w:rPr>
      </w:pPr>
      <w:r w:rsidRPr="00EB1588">
        <w:rPr>
          <w:rStyle w:val="Refdenotaalpie"/>
          <w:rFonts w:ascii="Arial" w:hAnsi="Arial" w:cs="Arial"/>
          <w:sz w:val="18"/>
          <w:szCs w:val="18"/>
        </w:rPr>
        <w:footnoteRef/>
      </w:r>
      <w:r w:rsidRPr="00EB1588">
        <w:rPr>
          <w:rFonts w:ascii="Arial" w:hAnsi="Arial" w:cs="Arial"/>
          <w:sz w:val="18"/>
          <w:szCs w:val="18"/>
        </w:rPr>
        <w:t xml:space="preserve"> </w:t>
      </w:r>
      <w:r w:rsidRPr="00EB1588">
        <w:rPr>
          <w:rFonts w:ascii="Arial" w:hAnsi="Arial" w:cs="Arial"/>
          <w:color w:val="auto"/>
          <w:sz w:val="18"/>
          <w:szCs w:val="18"/>
        </w:rPr>
        <w:t>Esta tesis aparece de igual manera en la compilación de tesis en materia penal.</w:t>
      </w:r>
    </w:p>
  </w:footnote>
  <w:footnote w:id="3">
    <w:p w:rsidR="000C3CD3" w:rsidRPr="00EB1588" w:rsidRDefault="000C3CD3" w:rsidP="00EB1588">
      <w:pPr>
        <w:spacing w:after="0" w:line="240" w:lineRule="auto"/>
        <w:jc w:val="both"/>
        <w:rPr>
          <w:rFonts w:ascii="Arial" w:hAnsi="Arial" w:cs="Arial"/>
          <w:color w:val="0070C0"/>
          <w:sz w:val="18"/>
          <w:szCs w:val="18"/>
        </w:rPr>
      </w:pPr>
      <w:r w:rsidRPr="00EB1588">
        <w:rPr>
          <w:rStyle w:val="Refdenotaalpie"/>
          <w:rFonts w:ascii="Arial" w:hAnsi="Arial" w:cs="Arial"/>
          <w:color w:val="auto"/>
          <w:sz w:val="18"/>
          <w:szCs w:val="18"/>
        </w:rPr>
        <w:footnoteRef/>
      </w:r>
      <w:r w:rsidRPr="00EB1588">
        <w:rPr>
          <w:rFonts w:ascii="Arial" w:hAnsi="Arial" w:cs="Arial"/>
          <w:color w:val="auto"/>
          <w:sz w:val="18"/>
          <w:szCs w:val="18"/>
        </w:rPr>
        <w:t xml:space="preserve"> Esta tesis aparece de igual manera en la compilación de tesis en materia civil.</w:t>
      </w:r>
    </w:p>
  </w:footnote>
  <w:footnote w:id="4">
    <w:p w:rsidR="000C3CD3" w:rsidRPr="00ED00C8" w:rsidRDefault="000C3CD3">
      <w:pPr>
        <w:pStyle w:val="Textonotapie"/>
        <w:rPr>
          <w:rFonts w:ascii="Arial" w:hAnsi="Arial" w:cs="Arial"/>
          <w:sz w:val="18"/>
          <w:szCs w:val="18"/>
          <w:lang w:val="es-MX"/>
        </w:rPr>
      </w:pPr>
      <w:r w:rsidRPr="00ED00C8">
        <w:rPr>
          <w:rStyle w:val="Refdenotaalpie"/>
          <w:rFonts w:ascii="Arial" w:hAnsi="Arial" w:cs="Arial"/>
          <w:sz w:val="18"/>
          <w:szCs w:val="18"/>
        </w:rPr>
        <w:footnoteRef/>
      </w:r>
      <w:r w:rsidRPr="00ED00C8">
        <w:rPr>
          <w:rFonts w:ascii="Arial" w:hAnsi="Arial" w:cs="Arial"/>
          <w:sz w:val="18"/>
          <w:szCs w:val="18"/>
        </w:rPr>
        <w:t xml:space="preserve"> </w:t>
      </w:r>
      <w:r w:rsidRPr="00ED00C8">
        <w:rPr>
          <w:rFonts w:ascii="Arial" w:hAnsi="Arial" w:cs="Arial"/>
          <w:color w:val="auto"/>
          <w:sz w:val="18"/>
          <w:szCs w:val="18"/>
        </w:rPr>
        <w:t>Esta tesis aparece de igual manera en la compilación de tesis en materia laboral.</w:t>
      </w:r>
    </w:p>
  </w:footnote>
  <w:footnote w:id="5">
    <w:p w:rsidR="000C3CD3" w:rsidRPr="00C630BB" w:rsidRDefault="000C3CD3" w:rsidP="00C630BB">
      <w:pPr>
        <w:spacing w:after="0" w:line="240" w:lineRule="auto"/>
        <w:jc w:val="both"/>
        <w:rPr>
          <w:rFonts w:ascii="Arial" w:hAnsi="Arial" w:cs="Arial"/>
          <w:color w:val="auto"/>
          <w:sz w:val="18"/>
          <w:szCs w:val="18"/>
        </w:rPr>
      </w:pPr>
      <w:r w:rsidRPr="00C630BB">
        <w:rPr>
          <w:rStyle w:val="Refdenotaalpie"/>
          <w:rFonts w:ascii="Arial" w:hAnsi="Arial" w:cs="Arial"/>
          <w:sz w:val="18"/>
          <w:szCs w:val="18"/>
        </w:rPr>
        <w:footnoteRef/>
      </w:r>
      <w:r w:rsidRPr="00C630BB">
        <w:rPr>
          <w:rFonts w:ascii="Arial" w:hAnsi="Arial" w:cs="Arial"/>
          <w:sz w:val="18"/>
          <w:szCs w:val="18"/>
        </w:rPr>
        <w:t xml:space="preserve"> </w:t>
      </w:r>
      <w:r w:rsidRPr="00C630BB">
        <w:rPr>
          <w:rFonts w:ascii="Arial" w:hAnsi="Arial" w:cs="Arial"/>
          <w:color w:val="auto"/>
          <w:sz w:val="18"/>
          <w:szCs w:val="18"/>
        </w:rPr>
        <w:t>Esta tesis aparece de igual manera en la compilación de tesis en materia laboral.</w:t>
      </w:r>
    </w:p>
  </w:footnote>
  <w:footnote w:id="6">
    <w:p w:rsidR="000C3CD3" w:rsidRPr="00C630BB" w:rsidRDefault="000C3CD3" w:rsidP="00C630BB">
      <w:pPr>
        <w:spacing w:after="0" w:line="240" w:lineRule="auto"/>
        <w:jc w:val="both"/>
        <w:rPr>
          <w:rFonts w:ascii="Arial" w:hAnsi="Arial" w:cs="Arial"/>
          <w:color w:val="0070C0"/>
          <w:sz w:val="18"/>
          <w:szCs w:val="18"/>
        </w:rPr>
      </w:pPr>
      <w:r w:rsidRPr="00C630BB">
        <w:rPr>
          <w:rStyle w:val="Refdenotaalpie"/>
          <w:rFonts w:ascii="Arial" w:hAnsi="Arial" w:cs="Arial"/>
          <w:color w:val="auto"/>
          <w:sz w:val="18"/>
          <w:szCs w:val="18"/>
        </w:rPr>
        <w:footnoteRef/>
      </w:r>
      <w:r w:rsidRPr="00C630BB">
        <w:rPr>
          <w:rFonts w:ascii="Arial" w:hAnsi="Arial" w:cs="Arial"/>
          <w:color w:val="auto"/>
          <w:sz w:val="18"/>
          <w:szCs w:val="18"/>
        </w:rPr>
        <w:t xml:space="preserve"> Esta tesis aparece de igual manera en la compilación de tesis en materia familiar.</w:t>
      </w:r>
    </w:p>
  </w:footnote>
  <w:footnote w:id="7">
    <w:p w:rsidR="000C3CD3" w:rsidRPr="00267387" w:rsidRDefault="000C3CD3" w:rsidP="00267387">
      <w:pPr>
        <w:spacing w:after="0" w:line="240" w:lineRule="auto"/>
        <w:jc w:val="both"/>
        <w:rPr>
          <w:rFonts w:ascii="Arial" w:hAnsi="Arial" w:cs="Arial"/>
          <w:color w:val="0070C0"/>
          <w:sz w:val="18"/>
          <w:szCs w:val="18"/>
        </w:rPr>
      </w:pPr>
      <w:r w:rsidRPr="00267387">
        <w:rPr>
          <w:rStyle w:val="Refdenotaalpie"/>
          <w:rFonts w:ascii="Arial" w:hAnsi="Arial" w:cs="Arial"/>
          <w:color w:val="auto"/>
          <w:sz w:val="18"/>
          <w:szCs w:val="18"/>
        </w:rPr>
        <w:footnoteRef/>
      </w:r>
      <w:r w:rsidRPr="00267387">
        <w:rPr>
          <w:rFonts w:ascii="Arial" w:hAnsi="Arial" w:cs="Arial"/>
          <w:color w:val="auto"/>
          <w:sz w:val="18"/>
          <w:szCs w:val="18"/>
        </w:rPr>
        <w:t xml:space="preserve"> Esta tesis aparece de igual manera en la compilación de tesis en materia familiar.</w:t>
      </w:r>
    </w:p>
  </w:footnote>
  <w:footnote w:id="8">
    <w:p w:rsidR="000C3CD3" w:rsidRPr="008A6BC2" w:rsidRDefault="000C3CD3" w:rsidP="001875AD">
      <w:pPr>
        <w:spacing w:after="0" w:line="240" w:lineRule="auto"/>
        <w:jc w:val="both"/>
        <w:rPr>
          <w:rFonts w:ascii="Arial" w:hAnsi="Arial" w:cs="Arial"/>
          <w:color w:val="0070C0"/>
          <w:sz w:val="18"/>
          <w:szCs w:val="18"/>
        </w:rPr>
      </w:pPr>
      <w:r w:rsidRPr="008A6BC2">
        <w:rPr>
          <w:rStyle w:val="Refdenotaalpie"/>
          <w:rFonts w:ascii="Arial" w:hAnsi="Arial" w:cs="Arial"/>
          <w:color w:val="auto"/>
          <w:sz w:val="18"/>
          <w:szCs w:val="18"/>
        </w:rPr>
        <w:footnoteRef/>
      </w:r>
      <w:r w:rsidRPr="008A6BC2">
        <w:rPr>
          <w:rFonts w:ascii="Arial" w:hAnsi="Arial" w:cs="Arial"/>
          <w:color w:val="auto"/>
          <w:sz w:val="18"/>
          <w:szCs w:val="18"/>
        </w:rPr>
        <w:t xml:space="preserve"> Esta aparece de igual manera en la compilación de tesis en materia civil.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D3" w:rsidRDefault="000C3CD3"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0C3CD3" w:rsidRDefault="000C3CD3" w:rsidP="00B20C11">
    <w:pPr>
      <w:pStyle w:val="Encabezado"/>
      <w:tabs>
        <w:tab w:val="clear" w:pos="4680"/>
        <w:tab w:val="clear" w:pos="9360"/>
        <w:tab w:val="left" w:pos="8375"/>
      </w:tabs>
      <w:rPr>
        <w:noProof/>
        <w:color w:val="auto"/>
        <w:lang w:val="es-MX" w:eastAsia="es-MX"/>
      </w:rPr>
    </w:pPr>
  </w:p>
  <w:p w:rsidR="000C3CD3" w:rsidRDefault="000C3CD3" w:rsidP="00B20C11">
    <w:pPr>
      <w:pStyle w:val="Encabezado"/>
      <w:tabs>
        <w:tab w:val="clear" w:pos="4680"/>
        <w:tab w:val="clear" w:pos="9360"/>
        <w:tab w:val="left" w:pos="8375"/>
      </w:tabs>
      <w:rPr>
        <w:noProof/>
        <w:color w:val="auto"/>
        <w:lang w:val="es-MX" w:eastAsia="es-MX"/>
      </w:rPr>
    </w:pPr>
  </w:p>
  <w:p w:rsidR="000C3CD3" w:rsidRDefault="000C3CD3" w:rsidP="00B20C11">
    <w:pPr>
      <w:pStyle w:val="Encabezado"/>
      <w:tabs>
        <w:tab w:val="clear" w:pos="4680"/>
        <w:tab w:val="clear" w:pos="9360"/>
        <w:tab w:val="left" w:pos="8375"/>
      </w:tabs>
      <w:rPr>
        <w:noProof/>
        <w:color w:val="auto"/>
        <w:lang w:val="es-MX" w:eastAsia="es-MX"/>
      </w:rPr>
    </w:pPr>
  </w:p>
  <w:p w:rsidR="000C3CD3" w:rsidRDefault="000C3CD3" w:rsidP="00B20C11">
    <w:pPr>
      <w:pStyle w:val="Encabezado"/>
      <w:tabs>
        <w:tab w:val="clear" w:pos="4680"/>
        <w:tab w:val="clear" w:pos="9360"/>
        <w:tab w:val="left" w:pos="8375"/>
      </w:tabs>
      <w:rPr>
        <w:noProof/>
        <w:color w:val="auto"/>
        <w:lang w:val="es-MX" w:eastAsia="es-MX"/>
      </w:rPr>
    </w:pPr>
  </w:p>
  <w:p w:rsidR="000C3CD3" w:rsidRDefault="000C3CD3" w:rsidP="00B20C11">
    <w:pPr>
      <w:pStyle w:val="Encabezado"/>
      <w:tabs>
        <w:tab w:val="clear" w:pos="4680"/>
        <w:tab w:val="clear" w:pos="9360"/>
        <w:tab w:val="left" w:pos="8375"/>
      </w:tabs>
    </w:pPr>
  </w:p>
  <w:p w:rsidR="000C3CD3" w:rsidRDefault="000C3CD3" w:rsidP="00B20C11">
    <w:pPr>
      <w:pStyle w:val="Encabezado"/>
      <w:tabs>
        <w:tab w:val="clear" w:pos="4680"/>
        <w:tab w:val="clear" w:pos="9360"/>
        <w:tab w:val="left" w:pos="8375"/>
      </w:tabs>
      <w:rPr>
        <w:noProof/>
        <w:color w:val="auto"/>
        <w:lang w:val="es-MX" w:eastAsia="es-MX"/>
      </w:rPr>
    </w:pPr>
  </w:p>
  <w:p w:rsidR="000C3CD3" w:rsidRDefault="000C3CD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6178"/>
    <w:rsid w:val="00087300"/>
    <w:rsid w:val="000A5150"/>
    <w:rsid w:val="000B22CA"/>
    <w:rsid w:val="000C3CD3"/>
    <w:rsid w:val="000D02CC"/>
    <w:rsid w:val="000D40AA"/>
    <w:rsid w:val="000D68B2"/>
    <w:rsid w:val="000E584C"/>
    <w:rsid w:val="000F77E7"/>
    <w:rsid w:val="00113202"/>
    <w:rsid w:val="00143A2B"/>
    <w:rsid w:val="0016234D"/>
    <w:rsid w:val="00166FFC"/>
    <w:rsid w:val="001725DB"/>
    <w:rsid w:val="00176ED5"/>
    <w:rsid w:val="001810C6"/>
    <w:rsid w:val="001875AD"/>
    <w:rsid w:val="001B2881"/>
    <w:rsid w:val="001B5733"/>
    <w:rsid w:val="001C13E2"/>
    <w:rsid w:val="001D0683"/>
    <w:rsid w:val="00204163"/>
    <w:rsid w:val="00205969"/>
    <w:rsid w:val="00222AA2"/>
    <w:rsid w:val="002263E7"/>
    <w:rsid w:val="00265521"/>
    <w:rsid w:val="00267387"/>
    <w:rsid w:val="002B7179"/>
    <w:rsid w:val="002C0A64"/>
    <w:rsid w:val="002E0B9C"/>
    <w:rsid w:val="002E6287"/>
    <w:rsid w:val="002F2A9F"/>
    <w:rsid w:val="00303AE1"/>
    <w:rsid w:val="0031206A"/>
    <w:rsid w:val="00326531"/>
    <w:rsid w:val="00332CF2"/>
    <w:rsid w:val="00341C0A"/>
    <w:rsid w:val="003474DE"/>
    <w:rsid w:val="00357E72"/>
    <w:rsid w:val="00386915"/>
    <w:rsid w:val="003949BD"/>
    <w:rsid w:val="003B321C"/>
    <w:rsid w:val="003E2B13"/>
    <w:rsid w:val="003F21F5"/>
    <w:rsid w:val="003F3ACB"/>
    <w:rsid w:val="00425411"/>
    <w:rsid w:val="00453EC0"/>
    <w:rsid w:val="00455912"/>
    <w:rsid w:val="00464729"/>
    <w:rsid w:val="004C01E6"/>
    <w:rsid w:val="004D61A7"/>
    <w:rsid w:val="004E18B4"/>
    <w:rsid w:val="004E29DC"/>
    <w:rsid w:val="004E4F3F"/>
    <w:rsid w:val="005008D8"/>
    <w:rsid w:val="00511DE9"/>
    <w:rsid w:val="00524B92"/>
    <w:rsid w:val="005269F4"/>
    <w:rsid w:val="00536BF5"/>
    <w:rsid w:val="00553618"/>
    <w:rsid w:val="00560F76"/>
    <w:rsid w:val="00580845"/>
    <w:rsid w:val="00587770"/>
    <w:rsid w:val="00591FFE"/>
    <w:rsid w:val="005A69CD"/>
    <w:rsid w:val="005A7003"/>
    <w:rsid w:val="005B0A52"/>
    <w:rsid w:val="005B0DC7"/>
    <w:rsid w:val="005C2AAD"/>
    <w:rsid w:val="005D7F4F"/>
    <w:rsid w:val="005F1B52"/>
    <w:rsid w:val="00611792"/>
    <w:rsid w:val="00623FA6"/>
    <w:rsid w:val="00625009"/>
    <w:rsid w:val="00650E02"/>
    <w:rsid w:val="00655271"/>
    <w:rsid w:val="006651B3"/>
    <w:rsid w:val="00691094"/>
    <w:rsid w:val="00696563"/>
    <w:rsid w:val="006B1EC9"/>
    <w:rsid w:val="006B7784"/>
    <w:rsid w:val="006E2612"/>
    <w:rsid w:val="006E2C05"/>
    <w:rsid w:val="006F16F0"/>
    <w:rsid w:val="006F7155"/>
    <w:rsid w:val="00714A65"/>
    <w:rsid w:val="0071541E"/>
    <w:rsid w:val="00715DEA"/>
    <w:rsid w:val="007520BE"/>
    <w:rsid w:val="00753D3A"/>
    <w:rsid w:val="007566EF"/>
    <w:rsid w:val="00761BC3"/>
    <w:rsid w:val="00761CCB"/>
    <w:rsid w:val="007669BC"/>
    <w:rsid w:val="007703E8"/>
    <w:rsid w:val="0079289A"/>
    <w:rsid w:val="007C2576"/>
    <w:rsid w:val="007E0C9A"/>
    <w:rsid w:val="007E703A"/>
    <w:rsid w:val="007F106F"/>
    <w:rsid w:val="0081032C"/>
    <w:rsid w:val="00814717"/>
    <w:rsid w:val="008434DE"/>
    <w:rsid w:val="00844331"/>
    <w:rsid w:val="00854858"/>
    <w:rsid w:val="008613E1"/>
    <w:rsid w:val="008668C3"/>
    <w:rsid w:val="0089689F"/>
    <w:rsid w:val="008A6BC2"/>
    <w:rsid w:val="008E17FB"/>
    <w:rsid w:val="008E6394"/>
    <w:rsid w:val="008F2008"/>
    <w:rsid w:val="00911229"/>
    <w:rsid w:val="00913F19"/>
    <w:rsid w:val="009274E2"/>
    <w:rsid w:val="0094311E"/>
    <w:rsid w:val="009468A0"/>
    <w:rsid w:val="009603E6"/>
    <w:rsid w:val="00992480"/>
    <w:rsid w:val="009C0993"/>
    <w:rsid w:val="009E413B"/>
    <w:rsid w:val="00A448C1"/>
    <w:rsid w:val="00A54A0F"/>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8048A"/>
    <w:rsid w:val="00BA2DB2"/>
    <w:rsid w:val="00BB0FDA"/>
    <w:rsid w:val="00BD7AE6"/>
    <w:rsid w:val="00BF31A8"/>
    <w:rsid w:val="00C3444C"/>
    <w:rsid w:val="00C54B3A"/>
    <w:rsid w:val="00C56AD6"/>
    <w:rsid w:val="00C630BB"/>
    <w:rsid w:val="00C73DCF"/>
    <w:rsid w:val="00C764D7"/>
    <w:rsid w:val="00CA6B4F"/>
    <w:rsid w:val="00CB208F"/>
    <w:rsid w:val="00CC0644"/>
    <w:rsid w:val="00CD28BF"/>
    <w:rsid w:val="00D0003E"/>
    <w:rsid w:val="00D30ED6"/>
    <w:rsid w:val="00D522B9"/>
    <w:rsid w:val="00D72CB4"/>
    <w:rsid w:val="00D8263E"/>
    <w:rsid w:val="00DA37BB"/>
    <w:rsid w:val="00DA4A43"/>
    <w:rsid w:val="00DA5BEB"/>
    <w:rsid w:val="00DB03AC"/>
    <w:rsid w:val="00DE395C"/>
    <w:rsid w:val="00DF064B"/>
    <w:rsid w:val="00DF6BD2"/>
    <w:rsid w:val="00E105CD"/>
    <w:rsid w:val="00E167D5"/>
    <w:rsid w:val="00E2411A"/>
    <w:rsid w:val="00E37225"/>
    <w:rsid w:val="00E51439"/>
    <w:rsid w:val="00E52B73"/>
    <w:rsid w:val="00E6251B"/>
    <w:rsid w:val="00EA3A2F"/>
    <w:rsid w:val="00EB1588"/>
    <w:rsid w:val="00EB4DB5"/>
    <w:rsid w:val="00ED00C8"/>
    <w:rsid w:val="00ED5C6C"/>
    <w:rsid w:val="00EF36A5"/>
    <w:rsid w:val="00EF506B"/>
    <w:rsid w:val="00F03FBE"/>
    <w:rsid w:val="00F067A8"/>
    <w:rsid w:val="00F355FF"/>
    <w:rsid w:val="00F3742A"/>
    <w:rsid w:val="00F41650"/>
    <w:rsid w:val="00F437C9"/>
    <w:rsid w:val="00F450B5"/>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30284-2697-4A81-835A-C9048937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27</Pages>
  <Words>8240</Words>
  <Characters>45323</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2020-01-21T20:50:00Z</dcterms:created>
  <dcterms:modified xsi:type="dcterms:W3CDTF">2020-01-23T20:04:00Z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